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6E" w:rsidRPr="00D36A2C" w:rsidRDefault="00317D6E" w:rsidP="00D36A2C">
      <w:pPr>
        <w:spacing w:after="0" w:line="360" w:lineRule="auto"/>
        <w:jc w:val="center"/>
        <w:rPr>
          <w:rFonts w:cstheme="minorHAnsi"/>
          <w:b/>
          <w:bCs/>
          <w:sz w:val="20"/>
          <w:szCs w:val="20"/>
        </w:rPr>
      </w:pPr>
      <w:r w:rsidRPr="00D36A2C">
        <w:rPr>
          <w:rFonts w:cstheme="minorHAnsi"/>
          <w:b/>
          <w:bCs/>
          <w:sz w:val="20"/>
          <w:szCs w:val="20"/>
        </w:rPr>
        <w:t>Intradermal fractional IPV concept note</w:t>
      </w:r>
    </w:p>
    <w:p w:rsidR="00A714BE" w:rsidRPr="00D36A2C" w:rsidRDefault="00A714BE" w:rsidP="00D36A2C">
      <w:pPr>
        <w:spacing w:after="0" w:line="360" w:lineRule="auto"/>
        <w:rPr>
          <w:rFonts w:cstheme="minorHAnsi"/>
          <w:b/>
          <w:bCs/>
          <w:sz w:val="20"/>
          <w:szCs w:val="20"/>
        </w:rPr>
      </w:pPr>
      <w:r w:rsidRPr="00D36A2C">
        <w:rPr>
          <w:rFonts w:cstheme="minorHAnsi"/>
          <w:b/>
          <w:bCs/>
          <w:sz w:val="20"/>
          <w:szCs w:val="20"/>
        </w:rPr>
        <w:t>BACKGROUND</w:t>
      </w:r>
    </w:p>
    <w:p w:rsidR="000F1290" w:rsidRPr="00D36A2C" w:rsidRDefault="00320B6F" w:rsidP="00D36A2C">
      <w:pPr>
        <w:spacing w:after="0" w:line="360" w:lineRule="auto"/>
        <w:rPr>
          <w:rFonts w:cs="AdvOT1ef757c0"/>
          <w:sz w:val="20"/>
          <w:szCs w:val="20"/>
        </w:rPr>
      </w:pPr>
      <w:r w:rsidRPr="00D36A2C">
        <w:rPr>
          <w:rFonts w:cstheme="minorHAnsi"/>
          <w:sz w:val="20"/>
          <w:szCs w:val="20"/>
        </w:rPr>
        <w:t>In November 2012, the</w:t>
      </w:r>
      <w:r w:rsidRPr="00D36A2C">
        <w:rPr>
          <w:rFonts w:cs="AdvOT1ef757c0"/>
          <w:sz w:val="20"/>
          <w:szCs w:val="20"/>
        </w:rPr>
        <w:t xml:space="preserve"> Strategic Advisory Group of Experts on Immunization (SAGE) recommended that all countries introduce at least 1 dose of inactivated polio vaccine (IPV) in their routine immunization programs, to mitigate the risks associated with the </w:t>
      </w:r>
      <w:r w:rsidR="00231F34" w:rsidRPr="00D36A2C">
        <w:rPr>
          <w:rFonts w:cs="AdvOT1ef757c0"/>
          <w:sz w:val="20"/>
          <w:szCs w:val="20"/>
        </w:rPr>
        <w:t xml:space="preserve">globally synchronised </w:t>
      </w:r>
      <w:r w:rsidRPr="00D36A2C">
        <w:rPr>
          <w:rFonts w:cs="AdvOT1ef757c0"/>
          <w:sz w:val="20"/>
          <w:szCs w:val="20"/>
        </w:rPr>
        <w:t xml:space="preserve">withdrawal of the poliovirus type 2 component of </w:t>
      </w:r>
      <w:r w:rsidR="001109B4" w:rsidRPr="00D36A2C">
        <w:rPr>
          <w:rFonts w:cs="AdvOT1ef757c0"/>
          <w:sz w:val="20"/>
          <w:szCs w:val="20"/>
        </w:rPr>
        <w:t>oral poliovirus vaccine (</w:t>
      </w:r>
      <w:r w:rsidRPr="00D36A2C">
        <w:rPr>
          <w:rFonts w:cs="AdvOT1ef757c0"/>
          <w:sz w:val="20"/>
          <w:szCs w:val="20"/>
        </w:rPr>
        <w:t>OPV</w:t>
      </w:r>
      <w:r w:rsidR="001109B4" w:rsidRPr="00D36A2C">
        <w:rPr>
          <w:rFonts w:cs="AdvOT1ef757c0"/>
          <w:sz w:val="20"/>
          <w:szCs w:val="20"/>
        </w:rPr>
        <w:t>)</w:t>
      </w:r>
      <w:r w:rsidR="00BE2ECE">
        <w:rPr>
          <w:rFonts w:cs="AdvOT1ef757c0"/>
          <w:sz w:val="20"/>
          <w:szCs w:val="20"/>
        </w:rPr>
        <w:t>, which will take place</w:t>
      </w:r>
      <w:r w:rsidR="00E00232" w:rsidRPr="00D36A2C">
        <w:rPr>
          <w:rFonts w:cs="AdvOT1ef757c0"/>
          <w:sz w:val="20"/>
          <w:szCs w:val="20"/>
        </w:rPr>
        <w:t xml:space="preserve"> </w:t>
      </w:r>
      <w:r w:rsidR="00231F34" w:rsidRPr="00D36A2C">
        <w:rPr>
          <w:rFonts w:cs="AdvOT1ef757c0"/>
          <w:sz w:val="20"/>
          <w:szCs w:val="20"/>
        </w:rPr>
        <w:t>between April 17 – May 1 2016</w:t>
      </w:r>
      <w:r w:rsidRPr="00D36A2C">
        <w:rPr>
          <w:rFonts w:cs="AdvOT1ef757c0"/>
          <w:sz w:val="20"/>
          <w:szCs w:val="20"/>
        </w:rPr>
        <w:t xml:space="preserve">. </w:t>
      </w:r>
    </w:p>
    <w:p w:rsidR="000F1290" w:rsidRPr="00D36A2C" w:rsidRDefault="000F1290" w:rsidP="00D36A2C">
      <w:pPr>
        <w:spacing w:after="0" w:line="360" w:lineRule="auto"/>
        <w:rPr>
          <w:rFonts w:cs="AdvOT1ef757c0"/>
          <w:sz w:val="20"/>
          <w:szCs w:val="20"/>
        </w:rPr>
      </w:pPr>
    </w:p>
    <w:p w:rsidR="00D7532F" w:rsidRPr="00D36A2C" w:rsidRDefault="00320B6F" w:rsidP="00BE2ECE">
      <w:pPr>
        <w:spacing w:after="0" w:line="360" w:lineRule="auto"/>
        <w:rPr>
          <w:rFonts w:cstheme="minorHAnsi"/>
          <w:sz w:val="20"/>
          <w:szCs w:val="20"/>
        </w:rPr>
      </w:pPr>
      <w:r w:rsidRPr="00D36A2C">
        <w:rPr>
          <w:rFonts w:cstheme="minorHAnsi"/>
          <w:sz w:val="20"/>
          <w:szCs w:val="20"/>
        </w:rPr>
        <w:t xml:space="preserve">One dose of IPV will </w:t>
      </w:r>
      <w:r w:rsidR="000E53DF" w:rsidRPr="00D36A2C">
        <w:rPr>
          <w:rFonts w:cstheme="minorHAnsi"/>
          <w:sz w:val="20"/>
          <w:szCs w:val="20"/>
        </w:rPr>
        <w:t>increase population</w:t>
      </w:r>
      <w:r w:rsidRPr="00D36A2C">
        <w:rPr>
          <w:rFonts w:cstheme="minorHAnsi"/>
          <w:sz w:val="20"/>
          <w:szCs w:val="20"/>
        </w:rPr>
        <w:t xml:space="preserve"> immunity to poliovirus type 2 and </w:t>
      </w:r>
      <w:r w:rsidR="000E53DF" w:rsidRPr="00D36A2C">
        <w:rPr>
          <w:rFonts w:cstheme="minorHAnsi"/>
          <w:sz w:val="20"/>
          <w:szCs w:val="20"/>
        </w:rPr>
        <w:t xml:space="preserve">boost </w:t>
      </w:r>
      <w:r w:rsidRPr="00D36A2C">
        <w:rPr>
          <w:rFonts w:cstheme="minorHAnsi"/>
          <w:sz w:val="20"/>
          <w:szCs w:val="20"/>
        </w:rPr>
        <w:t xml:space="preserve">immunity against </w:t>
      </w:r>
      <w:r w:rsidR="000E53DF" w:rsidRPr="00D36A2C">
        <w:rPr>
          <w:rFonts w:cstheme="minorHAnsi"/>
          <w:sz w:val="20"/>
          <w:szCs w:val="20"/>
        </w:rPr>
        <w:t xml:space="preserve">poliovirus </w:t>
      </w:r>
      <w:r w:rsidRPr="00D36A2C">
        <w:rPr>
          <w:rFonts w:cstheme="minorHAnsi"/>
          <w:sz w:val="20"/>
          <w:szCs w:val="20"/>
        </w:rPr>
        <w:t xml:space="preserve">types 1 and 3. This </w:t>
      </w:r>
      <w:r w:rsidR="000E53DF" w:rsidRPr="00D36A2C">
        <w:rPr>
          <w:rFonts w:cstheme="minorHAnsi"/>
          <w:sz w:val="20"/>
          <w:szCs w:val="20"/>
        </w:rPr>
        <w:t xml:space="preserve">increase in population </w:t>
      </w:r>
      <w:r w:rsidRPr="00D36A2C">
        <w:rPr>
          <w:rFonts w:cstheme="minorHAnsi"/>
          <w:sz w:val="20"/>
          <w:szCs w:val="20"/>
        </w:rPr>
        <w:t xml:space="preserve">immunity </w:t>
      </w:r>
      <w:r w:rsidR="000E53DF" w:rsidRPr="00D36A2C">
        <w:rPr>
          <w:rFonts w:cstheme="minorHAnsi"/>
          <w:sz w:val="20"/>
          <w:szCs w:val="20"/>
        </w:rPr>
        <w:t>will</w:t>
      </w:r>
      <w:r w:rsidR="0040539C" w:rsidRPr="00D36A2C">
        <w:rPr>
          <w:rFonts w:cstheme="minorHAnsi"/>
          <w:sz w:val="20"/>
          <w:szCs w:val="20"/>
        </w:rPr>
        <w:t xml:space="preserve">: </w:t>
      </w:r>
      <w:r w:rsidR="00D7532F" w:rsidRPr="00D36A2C">
        <w:rPr>
          <w:rFonts w:cstheme="minorHAnsi"/>
          <w:sz w:val="20"/>
          <w:szCs w:val="20"/>
        </w:rPr>
        <w:br/>
        <w:t xml:space="preserve">1. </w:t>
      </w:r>
      <w:r w:rsidR="0040539C">
        <w:rPr>
          <w:rFonts w:cstheme="minorHAnsi"/>
          <w:sz w:val="20"/>
          <w:szCs w:val="20"/>
        </w:rPr>
        <w:t>R</w:t>
      </w:r>
      <w:r w:rsidR="0040539C" w:rsidRPr="00D36A2C">
        <w:rPr>
          <w:rFonts w:cstheme="minorHAnsi"/>
          <w:sz w:val="20"/>
          <w:szCs w:val="20"/>
        </w:rPr>
        <w:t xml:space="preserve">educe </w:t>
      </w:r>
      <w:r w:rsidR="0040539C">
        <w:rPr>
          <w:rFonts w:cstheme="minorHAnsi"/>
          <w:sz w:val="20"/>
          <w:szCs w:val="20"/>
        </w:rPr>
        <w:t>the</w:t>
      </w:r>
      <w:r w:rsidR="00BE2ECE">
        <w:rPr>
          <w:rFonts w:cstheme="minorHAnsi"/>
          <w:sz w:val="20"/>
          <w:szCs w:val="20"/>
        </w:rPr>
        <w:t xml:space="preserve"> </w:t>
      </w:r>
      <w:r w:rsidR="00D7532F" w:rsidRPr="00D36A2C">
        <w:rPr>
          <w:rFonts w:cstheme="minorHAnsi"/>
          <w:sz w:val="20"/>
          <w:szCs w:val="20"/>
        </w:rPr>
        <w:t>risk of developing type 2 associated paralytic poliomyelitis</w:t>
      </w:r>
    </w:p>
    <w:p w:rsidR="00D7532F" w:rsidRPr="00D36A2C" w:rsidRDefault="00D7532F" w:rsidP="00BE2ECE">
      <w:pPr>
        <w:spacing w:after="0" w:line="360" w:lineRule="auto"/>
        <w:rPr>
          <w:rFonts w:cstheme="minorHAnsi"/>
          <w:sz w:val="20"/>
          <w:szCs w:val="20"/>
        </w:rPr>
      </w:pPr>
      <w:r w:rsidRPr="00D36A2C">
        <w:rPr>
          <w:rFonts w:cstheme="minorHAnsi"/>
          <w:sz w:val="20"/>
          <w:szCs w:val="20"/>
        </w:rPr>
        <w:t xml:space="preserve">2. </w:t>
      </w:r>
      <w:r w:rsidR="00BE2ECE">
        <w:rPr>
          <w:rFonts w:cstheme="minorHAnsi"/>
          <w:sz w:val="20"/>
          <w:szCs w:val="20"/>
        </w:rPr>
        <w:t>S</w:t>
      </w:r>
      <w:r w:rsidRPr="00D36A2C">
        <w:rPr>
          <w:rFonts w:cstheme="minorHAnsi"/>
          <w:sz w:val="20"/>
          <w:szCs w:val="20"/>
        </w:rPr>
        <w:t>eroconvert a proportion of naive (seronegative) children</w:t>
      </w:r>
    </w:p>
    <w:p w:rsidR="00D7532F" w:rsidRPr="00D36A2C" w:rsidRDefault="00D7532F" w:rsidP="00BE2ECE">
      <w:pPr>
        <w:spacing w:after="0" w:line="360" w:lineRule="auto"/>
        <w:rPr>
          <w:rFonts w:cstheme="minorHAnsi"/>
          <w:sz w:val="20"/>
          <w:szCs w:val="20"/>
        </w:rPr>
      </w:pPr>
      <w:r w:rsidRPr="00D36A2C">
        <w:rPr>
          <w:rFonts w:cstheme="minorHAnsi"/>
          <w:sz w:val="20"/>
          <w:szCs w:val="20"/>
        </w:rPr>
        <w:t xml:space="preserve">3. </w:t>
      </w:r>
      <w:r w:rsidR="00BE2ECE">
        <w:rPr>
          <w:rFonts w:cstheme="minorHAnsi"/>
          <w:sz w:val="20"/>
          <w:szCs w:val="20"/>
        </w:rPr>
        <w:t>Boost humoral immunity i</w:t>
      </w:r>
      <w:r w:rsidRPr="00D36A2C">
        <w:rPr>
          <w:rFonts w:cstheme="minorHAnsi"/>
          <w:sz w:val="20"/>
          <w:szCs w:val="20"/>
        </w:rPr>
        <w:t>n children previously exposed to OPV</w:t>
      </w:r>
    </w:p>
    <w:p w:rsidR="00D7532F" w:rsidRPr="00D36A2C" w:rsidRDefault="00D7532F" w:rsidP="00BE2ECE">
      <w:pPr>
        <w:spacing w:after="0" w:line="360" w:lineRule="auto"/>
        <w:rPr>
          <w:rFonts w:cstheme="minorHAnsi"/>
          <w:sz w:val="20"/>
          <w:szCs w:val="20"/>
        </w:rPr>
      </w:pPr>
      <w:r w:rsidRPr="00D36A2C">
        <w:rPr>
          <w:rFonts w:cstheme="minorHAnsi"/>
          <w:sz w:val="20"/>
          <w:szCs w:val="20"/>
        </w:rPr>
        <w:t xml:space="preserve">4. </w:t>
      </w:r>
      <w:r w:rsidR="00BE2ECE">
        <w:rPr>
          <w:rFonts w:cstheme="minorHAnsi"/>
          <w:sz w:val="20"/>
          <w:szCs w:val="20"/>
        </w:rPr>
        <w:t>B</w:t>
      </w:r>
      <w:r w:rsidRPr="00D36A2C">
        <w:rPr>
          <w:rFonts w:cstheme="minorHAnsi"/>
          <w:sz w:val="20"/>
          <w:szCs w:val="20"/>
        </w:rPr>
        <w:t>oost mucosal immunity in children previously exposed to OPV</w:t>
      </w:r>
    </w:p>
    <w:p w:rsidR="00D7532F" w:rsidRPr="00D36A2C" w:rsidRDefault="00D7532F" w:rsidP="00BE2ECE">
      <w:pPr>
        <w:spacing w:after="0" w:line="360" w:lineRule="auto"/>
        <w:rPr>
          <w:rFonts w:cstheme="minorHAnsi"/>
          <w:sz w:val="20"/>
          <w:szCs w:val="20"/>
        </w:rPr>
      </w:pPr>
      <w:r w:rsidRPr="00D36A2C">
        <w:rPr>
          <w:rFonts w:cstheme="minorHAnsi"/>
          <w:sz w:val="20"/>
          <w:szCs w:val="20"/>
        </w:rPr>
        <w:t xml:space="preserve">Lastly, in the event of an outbreak of type 2 </w:t>
      </w:r>
      <w:r w:rsidR="00BE2ECE">
        <w:rPr>
          <w:rFonts w:cstheme="minorHAnsi"/>
          <w:sz w:val="20"/>
          <w:szCs w:val="20"/>
        </w:rPr>
        <w:t>poliovirus</w:t>
      </w:r>
      <w:r w:rsidRPr="00D36A2C">
        <w:rPr>
          <w:rFonts w:cstheme="minorHAnsi"/>
          <w:sz w:val="20"/>
          <w:szCs w:val="20"/>
        </w:rPr>
        <w:t xml:space="preserve">, administration of </w:t>
      </w:r>
      <w:r w:rsidR="00BE2ECE" w:rsidRPr="00D36A2C">
        <w:rPr>
          <w:rFonts w:cstheme="minorHAnsi"/>
          <w:sz w:val="20"/>
          <w:szCs w:val="20"/>
        </w:rPr>
        <w:t>2</w:t>
      </w:r>
      <w:r w:rsidR="00BE2ECE" w:rsidRPr="00D36A2C">
        <w:rPr>
          <w:rFonts w:cstheme="minorHAnsi"/>
          <w:sz w:val="20"/>
          <w:szCs w:val="20"/>
          <w:vertAlign w:val="superscript"/>
        </w:rPr>
        <w:t>nd</w:t>
      </w:r>
      <w:r w:rsidR="00BE2ECE" w:rsidRPr="00D36A2C">
        <w:rPr>
          <w:rFonts w:cstheme="minorHAnsi"/>
          <w:sz w:val="20"/>
          <w:szCs w:val="20"/>
        </w:rPr>
        <w:t xml:space="preserve"> IPV</w:t>
      </w:r>
      <w:r w:rsidRPr="00D36A2C">
        <w:rPr>
          <w:rFonts w:cstheme="minorHAnsi"/>
          <w:sz w:val="20"/>
          <w:szCs w:val="20"/>
        </w:rPr>
        <w:t xml:space="preserve"> dose in conjunction with m</w:t>
      </w:r>
      <w:r w:rsidR="00BE2ECE">
        <w:rPr>
          <w:rFonts w:cstheme="minorHAnsi"/>
          <w:sz w:val="20"/>
          <w:szCs w:val="20"/>
        </w:rPr>
        <w:t xml:space="preserve">onovalent </w:t>
      </w:r>
      <w:r w:rsidRPr="00D36A2C">
        <w:rPr>
          <w:rFonts w:cstheme="minorHAnsi"/>
          <w:sz w:val="20"/>
          <w:szCs w:val="20"/>
        </w:rPr>
        <w:t>OPV2 will rapidly close remaining immunity gaps</w:t>
      </w:r>
    </w:p>
    <w:p w:rsidR="00320B6F" w:rsidRPr="00D36A2C" w:rsidRDefault="00320B6F" w:rsidP="00D36A2C">
      <w:pPr>
        <w:spacing w:after="0" w:line="360" w:lineRule="auto"/>
        <w:rPr>
          <w:rFonts w:cs="AdvOT1ef757c0"/>
          <w:sz w:val="20"/>
          <w:szCs w:val="20"/>
        </w:rPr>
      </w:pPr>
    </w:p>
    <w:p w:rsidR="00A01A53" w:rsidRPr="00D36A2C" w:rsidRDefault="000E53DF" w:rsidP="0040539C">
      <w:pPr>
        <w:spacing w:after="0" w:line="360" w:lineRule="auto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t>T</w:t>
      </w:r>
      <w:r w:rsidR="00320B6F" w:rsidRPr="00D36A2C">
        <w:rPr>
          <w:rFonts w:cs="AdvOT1ef757c0"/>
          <w:sz w:val="20"/>
          <w:szCs w:val="20"/>
        </w:rPr>
        <w:t>here is</w:t>
      </w:r>
      <w:r w:rsidRPr="00D36A2C">
        <w:rPr>
          <w:rFonts w:cs="AdvOT1ef757c0"/>
          <w:sz w:val="20"/>
          <w:szCs w:val="20"/>
        </w:rPr>
        <w:t xml:space="preserve"> currently</w:t>
      </w:r>
      <w:r w:rsidR="00320B6F" w:rsidRPr="00D36A2C">
        <w:rPr>
          <w:rFonts w:cs="AdvOT1ef757c0"/>
          <w:sz w:val="20"/>
          <w:szCs w:val="20"/>
        </w:rPr>
        <w:t xml:space="preserve"> a </w:t>
      </w:r>
      <w:r w:rsidRPr="00D36A2C">
        <w:rPr>
          <w:rFonts w:cs="AdvOT1ef757c0"/>
          <w:sz w:val="20"/>
          <w:szCs w:val="20"/>
        </w:rPr>
        <w:t xml:space="preserve">significant </w:t>
      </w:r>
      <w:r w:rsidR="00320B6F" w:rsidRPr="00D36A2C">
        <w:rPr>
          <w:rFonts w:cs="AdvOT1ef757c0"/>
          <w:sz w:val="20"/>
          <w:szCs w:val="20"/>
        </w:rPr>
        <w:t xml:space="preserve">global deficit in IPV supply, </w:t>
      </w:r>
      <w:r w:rsidR="004101F3" w:rsidRPr="00D36A2C">
        <w:rPr>
          <w:sz w:val="20"/>
          <w:szCs w:val="20"/>
        </w:rPr>
        <w:t>forecast to continue</w:t>
      </w:r>
      <w:r w:rsidR="0040539C">
        <w:rPr>
          <w:sz w:val="20"/>
          <w:szCs w:val="20"/>
        </w:rPr>
        <w:t xml:space="preserve"> through to 2017</w:t>
      </w:r>
      <w:r w:rsidR="0040539C">
        <w:rPr>
          <w:rStyle w:val="FootnoteReference"/>
          <w:sz w:val="20"/>
          <w:szCs w:val="20"/>
        </w:rPr>
        <w:footnoteReference w:id="1"/>
      </w:r>
      <w:r w:rsidR="00320B6F" w:rsidRPr="00D36A2C">
        <w:rPr>
          <w:rFonts w:cs="AdvOT1ef757c0"/>
          <w:sz w:val="20"/>
          <w:szCs w:val="20"/>
        </w:rPr>
        <w:t>. Both IPV manufacturers</w:t>
      </w:r>
      <w:r w:rsidR="00470217" w:rsidRPr="00D36A2C">
        <w:rPr>
          <w:rFonts w:cs="AdvOT1ef757c0"/>
          <w:sz w:val="20"/>
          <w:szCs w:val="20"/>
        </w:rPr>
        <w:t xml:space="preserve"> collaborating with the GPEI</w:t>
      </w:r>
      <w:r w:rsidR="00BE2ECE">
        <w:rPr>
          <w:rFonts w:cs="AdvOT1ef757c0"/>
          <w:sz w:val="20"/>
          <w:szCs w:val="20"/>
        </w:rPr>
        <w:t>, Sanofi-Pasteur</w:t>
      </w:r>
      <w:r w:rsidR="008060F7" w:rsidRPr="00D36A2C">
        <w:rPr>
          <w:rFonts w:cs="AdvOT1ef757c0"/>
          <w:sz w:val="20"/>
          <w:szCs w:val="20"/>
        </w:rPr>
        <w:t xml:space="preserve"> </w:t>
      </w:r>
      <w:r w:rsidR="00320B6F" w:rsidRPr="00D36A2C">
        <w:rPr>
          <w:rFonts w:cs="AdvOT1ef757c0"/>
          <w:sz w:val="20"/>
          <w:szCs w:val="20"/>
        </w:rPr>
        <w:t xml:space="preserve">and Bilthoven Biologicals, have reduced the quantity of IPV allocated to the public sector by </w:t>
      </w:r>
      <w:r w:rsidRPr="00D36A2C">
        <w:rPr>
          <w:rFonts w:cs="AdvOT1ef757c0"/>
          <w:sz w:val="20"/>
          <w:szCs w:val="20"/>
        </w:rPr>
        <w:t>40</w:t>
      </w:r>
      <w:r w:rsidR="00320B6F" w:rsidRPr="00D36A2C">
        <w:rPr>
          <w:rFonts w:cs="AdvOT1ef757c0"/>
          <w:sz w:val="20"/>
          <w:szCs w:val="20"/>
        </w:rPr>
        <w:t>%</w:t>
      </w:r>
      <w:r w:rsidR="00A657BD">
        <w:rPr>
          <w:rFonts w:cs="AdvOT1ef757c0"/>
          <w:sz w:val="20"/>
          <w:szCs w:val="20"/>
        </w:rPr>
        <w:t xml:space="preserve"> to 50%</w:t>
      </w:r>
      <w:r w:rsidR="00320B6F" w:rsidRPr="00D36A2C">
        <w:rPr>
          <w:rFonts w:cs="AdvOT1ef757c0"/>
          <w:sz w:val="20"/>
          <w:szCs w:val="20"/>
        </w:rPr>
        <w:t xml:space="preserve">. </w:t>
      </w:r>
      <w:r w:rsidR="00FF6D22" w:rsidRPr="00D36A2C">
        <w:rPr>
          <w:rFonts w:cs="AdvOT1ef757c0"/>
          <w:sz w:val="20"/>
          <w:szCs w:val="20"/>
        </w:rPr>
        <w:t>This</w:t>
      </w:r>
      <w:r w:rsidR="00AB6C00" w:rsidRPr="00D36A2C">
        <w:rPr>
          <w:rFonts w:cs="AdvOT1ef757c0"/>
          <w:sz w:val="20"/>
          <w:szCs w:val="20"/>
        </w:rPr>
        <w:t xml:space="preserve"> has</w:t>
      </w:r>
      <w:r w:rsidR="00FF6D22" w:rsidRPr="00D36A2C">
        <w:rPr>
          <w:rFonts w:cs="AdvOT1ef757c0"/>
          <w:sz w:val="20"/>
          <w:szCs w:val="20"/>
        </w:rPr>
        <w:t xml:space="preserve"> created a significant IPV shortage in many countries</w:t>
      </w:r>
      <w:r w:rsidRPr="00D36A2C">
        <w:rPr>
          <w:rFonts w:cs="AdvOT1ef757c0"/>
          <w:sz w:val="20"/>
          <w:szCs w:val="20"/>
        </w:rPr>
        <w:t xml:space="preserve"> globally</w:t>
      </w:r>
      <w:r w:rsidR="00FF6D22" w:rsidRPr="00D36A2C">
        <w:rPr>
          <w:rFonts w:cs="AdvOT1ef757c0"/>
          <w:sz w:val="20"/>
          <w:szCs w:val="20"/>
        </w:rPr>
        <w:t xml:space="preserve">. </w:t>
      </w:r>
    </w:p>
    <w:p w:rsidR="00C12A28" w:rsidRPr="00D36A2C" w:rsidRDefault="00C12A28" w:rsidP="00D36A2C">
      <w:pPr>
        <w:spacing w:after="0" w:line="360" w:lineRule="auto"/>
        <w:rPr>
          <w:sz w:val="20"/>
          <w:szCs w:val="20"/>
        </w:rPr>
      </w:pPr>
    </w:p>
    <w:p w:rsidR="00D7532F" w:rsidRPr="00D36A2C" w:rsidRDefault="00320B6F" w:rsidP="00D36A2C">
      <w:pPr>
        <w:spacing w:after="0" w:line="360" w:lineRule="auto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t xml:space="preserve">Several </w:t>
      </w:r>
      <w:r w:rsidR="00470217" w:rsidRPr="00D36A2C">
        <w:rPr>
          <w:rFonts w:cs="AdvOT1ef757c0"/>
          <w:sz w:val="20"/>
          <w:szCs w:val="20"/>
        </w:rPr>
        <w:t xml:space="preserve">contingency </w:t>
      </w:r>
      <w:r w:rsidRPr="00D36A2C">
        <w:rPr>
          <w:rFonts w:cs="AdvOT1ef757c0"/>
          <w:sz w:val="20"/>
          <w:szCs w:val="20"/>
        </w:rPr>
        <w:t xml:space="preserve">strategies are being pursued to address </w:t>
      </w:r>
      <w:r w:rsidR="000E53DF" w:rsidRPr="00D36A2C">
        <w:rPr>
          <w:rFonts w:cs="AdvOT1ef757c0"/>
          <w:sz w:val="20"/>
          <w:szCs w:val="20"/>
        </w:rPr>
        <w:t xml:space="preserve">the </w:t>
      </w:r>
      <w:r w:rsidRPr="00D36A2C">
        <w:rPr>
          <w:rFonts w:cs="AdvOT1ef757c0"/>
          <w:sz w:val="20"/>
          <w:szCs w:val="20"/>
        </w:rPr>
        <w:t>IPV</w:t>
      </w:r>
      <w:r w:rsidR="00A845C8" w:rsidRPr="00D36A2C">
        <w:rPr>
          <w:rFonts w:cs="AdvOT1ef757c0"/>
          <w:sz w:val="20"/>
          <w:szCs w:val="20"/>
        </w:rPr>
        <w:t xml:space="preserve"> </w:t>
      </w:r>
      <w:r w:rsidR="000E53DF" w:rsidRPr="00D36A2C">
        <w:rPr>
          <w:rFonts w:cs="AdvOT1ef757c0"/>
          <w:sz w:val="20"/>
          <w:szCs w:val="20"/>
        </w:rPr>
        <w:t>constraints so</w:t>
      </w:r>
      <w:r w:rsidR="00A845C8" w:rsidRPr="00D36A2C">
        <w:rPr>
          <w:rFonts w:cs="AdvOT1ef757c0"/>
          <w:sz w:val="20"/>
          <w:szCs w:val="20"/>
        </w:rPr>
        <w:t xml:space="preserve"> </w:t>
      </w:r>
      <w:r w:rsidR="00B02119" w:rsidRPr="00D36A2C">
        <w:rPr>
          <w:rFonts w:cs="AdvOT1ef757c0"/>
          <w:sz w:val="20"/>
          <w:szCs w:val="20"/>
        </w:rPr>
        <w:t>that</w:t>
      </w:r>
      <w:r w:rsidR="00A845C8" w:rsidRPr="00D36A2C">
        <w:rPr>
          <w:rFonts w:cs="AdvOT1ef757c0"/>
          <w:sz w:val="20"/>
          <w:szCs w:val="20"/>
        </w:rPr>
        <w:t xml:space="preserve"> all infants receive at least one dose of IPV</w:t>
      </w:r>
      <w:r w:rsidR="00470217" w:rsidRPr="00D36A2C">
        <w:rPr>
          <w:rFonts w:cs="AdvOT1ef757c0"/>
          <w:sz w:val="20"/>
          <w:szCs w:val="20"/>
        </w:rPr>
        <w:t xml:space="preserve"> </w:t>
      </w:r>
      <w:r w:rsidR="00067CC3" w:rsidRPr="00D36A2C">
        <w:rPr>
          <w:rFonts w:cs="AdvOT1ef757c0"/>
          <w:sz w:val="20"/>
          <w:szCs w:val="20"/>
        </w:rPr>
        <w:t>in addition to</w:t>
      </w:r>
      <w:r w:rsidR="00470217" w:rsidRPr="00D36A2C">
        <w:rPr>
          <w:rFonts w:cs="AdvOT1ef757c0"/>
          <w:sz w:val="20"/>
          <w:szCs w:val="20"/>
        </w:rPr>
        <w:t xml:space="preserve"> </w:t>
      </w:r>
      <w:r w:rsidR="000E53DF" w:rsidRPr="00D36A2C">
        <w:rPr>
          <w:rFonts w:cs="AdvOT1ef757c0"/>
          <w:sz w:val="20"/>
          <w:szCs w:val="20"/>
        </w:rPr>
        <w:t>bivalent OPV (</w:t>
      </w:r>
      <w:r w:rsidR="00470217" w:rsidRPr="00D36A2C">
        <w:rPr>
          <w:rFonts w:cs="AdvOT1ef757c0"/>
          <w:sz w:val="20"/>
          <w:szCs w:val="20"/>
        </w:rPr>
        <w:t>bOP</w:t>
      </w:r>
      <w:r w:rsidR="00285E1F" w:rsidRPr="00D36A2C">
        <w:rPr>
          <w:rFonts w:cs="AdvOT1ef757c0"/>
          <w:sz w:val="20"/>
          <w:szCs w:val="20"/>
        </w:rPr>
        <w:t>V</w:t>
      </w:r>
      <w:r w:rsidR="000E53DF" w:rsidRPr="00D36A2C">
        <w:rPr>
          <w:rFonts w:cs="AdvOT1ef757c0"/>
          <w:sz w:val="20"/>
          <w:szCs w:val="20"/>
        </w:rPr>
        <w:t>)</w:t>
      </w:r>
      <w:r w:rsidR="00285E1F" w:rsidRPr="00D36A2C">
        <w:rPr>
          <w:rFonts w:cs="AdvOT1ef757c0"/>
          <w:sz w:val="20"/>
          <w:szCs w:val="20"/>
        </w:rPr>
        <w:t xml:space="preserve"> (type </w:t>
      </w:r>
      <w:r w:rsidR="00470217" w:rsidRPr="00D36A2C">
        <w:rPr>
          <w:rFonts w:cs="AdvOT1ef757c0"/>
          <w:sz w:val="20"/>
          <w:szCs w:val="20"/>
        </w:rPr>
        <w:t>1</w:t>
      </w:r>
      <w:r w:rsidR="00285E1F" w:rsidRPr="00D36A2C">
        <w:rPr>
          <w:rFonts w:cs="AdvOT1ef757c0"/>
          <w:sz w:val="20"/>
          <w:szCs w:val="20"/>
        </w:rPr>
        <w:t xml:space="preserve"> and</w:t>
      </w:r>
      <w:r w:rsidR="00470217" w:rsidRPr="00D36A2C">
        <w:rPr>
          <w:rFonts w:cs="AdvOT1ef757c0"/>
          <w:sz w:val="20"/>
          <w:szCs w:val="20"/>
        </w:rPr>
        <w:t>3</w:t>
      </w:r>
      <w:r w:rsidR="00285E1F" w:rsidRPr="00D36A2C">
        <w:rPr>
          <w:rFonts w:cs="AdvOT1ef757c0"/>
          <w:sz w:val="20"/>
          <w:szCs w:val="20"/>
        </w:rPr>
        <w:t>)</w:t>
      </w:r>
      <w:r w:rsidR="00BE2ECE">
        <w:rPr>
          <w:rFonts w:cs="AdvOT1ef757c0"/>
          <w:sz w:val="20"/>
          <w:szCs w:val="20"/>
        </w:rPr>
        <w:t xml:space="preserve"> in their routine immunization </w:t>
      </w:r>
      <w:r w:rsidR="00470217" w:rsidRPr="00D36A2C">
        <w:rPr>
          <w:rFonts w:cs="AdvOT1ef757c0"/>
          <w:sz w:val="20"/>
          <w:szCs w:val="20"/>
        </w:rPr>
        <w:t>programme.</w:t>
      </w:r>
      <w:r w:rsidRPr="00D36A2C">
        <w:rPr>
          <w:rFonts w:cs="AdvOT1ef757c0"/>
          <w:sz w:val="20"/>
          <w:szCs w:val="20"/>
        </w:rPr>
        <w:t xml:space="preserve"> </w:t>
      </w:r>
      <w:r w:rsidR="00470217" w:rsidRPr="00D36A2C">
        <w:rPr>
          <w:rFonts w:cs="AdvOT1ef757c0"/>
          <w:sz w:val="20"/>
          <w:szCs w:val="20"/>
        </w:rPr>
        <w:t>The</w:t>
      </w:r>
      <w:r w:rsidR="000E53DF" w:rsidRPr="00D36A2C">
        <w:rPr>
          <w:rFonts w:cs="AdvOT1ef757c0"/>
          <w:sz w:val="20"/>
          <w:szCs w:val="20"/>
        </w:rPr>
        <w:t>se strategies include</w:t>
      </w:r>
      <w:r w:rsidR="00D7532F" w:rsidRPr="00D36A2C">
        <w:rPr>
          <w:rFonts w:cs="AdvOT1ef757c0"/>
          <w:sz w:val="20"/>
          <w:szCs w:val="20"/>
        </w:rPr>
        <w:t xml:space="preserve"> </w:t>
      </w:r>
    </w:p>
    <w:p w:rsidR="00D7532F" w:rsidRPr="00D36A2C" w:rsidRDefault="00D7532F" w:rsidP="00D36A2C">
      <w:pPr>
        <w:spacing w:after="0" w:line="360" w:lineRule="auto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t>1. Multidose policy - decreasing wastage through applying the multi-dose vials policy after opening of the vials</w:t>
      </w:r>
    </w:p>
    <w:p w:rsidR="00D7532F" w:rsidRPr="00D36A2C" w:rsidRDefault="00D7532F" w:rsidP="00D36A2C">
      <w:pPr>
        <w:spacing w:after="0" w:line="360" w:lineRule="auto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t xml:space="preserve">2. Prioritising IPV use to ensure IPV introduction into RI programs of all Tier 1 and 2 countries prior to type 2 </w:t>
      </w:r>
      <w:r w:rsidR="00BE2ECE">
        <w:rPr>
          <w:rFonts w:cs="AdvOT1ef757c0"/>
          <w:sz w:val="20"/>
          <w:szCs w:val="20"/>
        </w:rPr>
        <w:t xml:space="preserve">vaccine </w:t>
      </w:r>
      <w:r w:rsidRPr="00D36A2C">
        <w:rPr>
          <w:rFonts w:cs="AdvOT1ef757c0"/>
          <w:sz w:val="20"/>
          <w:szCs w:val="20"/>
        </w:rPr>
        <w:t>cessation</w:t>
      </w:r>
    </w:p>
    <w:p w:rsidR="00D7532F" w:rsidRPr="00D36A2C" w:rsidRDefault="00D7532F" w:rsidP="00BE2ECE">
      <w:pPr>
        <w:spacing w:after="0" w:line="360" w:lineRule="auto"/>
        <w:ind w:firstLine="720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t xml:space="preserve">a. Prior to type 2 </w:t>
      </w:r>
      <w:r w:rsidR="00BE2ECE">
        <w:rPr>
          <w:rFonts w:cs="AdvOT1ef757c0"/>
          <w:sz w:val="20"/>
          <w:szCs w:val="20"/>
        </w:rPr>
        <w:t xml:space="preserve">vaccine </w:t>
      </w:r>
      <w:r w:rsidRPr="00D36A2C">
        <w:rPr>
          <w:rFonts w:cs="AdvOT1ef757c0"/>
          <w:sz w:val="20"/>
          <w:szCs w:val="20"/>
        </w:rPr>
        <w:t xml:space="preserve">cessation, IPV </w:t>
      </w:r>
      <w:r w:rsidR="00D36A2C" w:rsidRPr="00D36A2C">
        <w:rPr>
          <w:rFonts w:cs="AdvOT1ef757c0"/>
          <w:sz w:val="20"/>
          <w:szCs w:val="20"/>
        </w:rPr>
        <w:t>use in SIAs will be targeted to</w:t>
      </w:r>
      <w:r w:rsidRPr="00D36A2C">
        <w:rPr>
          <w:rFonts w:cs="AdvOT1ef757c0"/>
          <w:sz w:val="20"/>
          <w:szCs w:val="20"/>
        </w:rPr>
        <w:t xml:space="preserve"> endemic countries</w:t>
      </w:r>
    </w:p>
    <w:p w:rsidR="00D7532F" w:rsidRPr="00CF28F1" w:rsidRDefault="00D7532F" w:rsidP="00CF28F1">
      <w:pPr>
        <w:spacing w:after="0" w:line="360" w:lineRule="auto"/>
        <w:ind w:left="720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t xml:space="preserve">b. IPV introduction </w:t>
      </w:r>
      <w:r w:rsidR="00D36A2C" w:rsidRPr="00D36A2C">
        <w:rPr>
          <w:rFonts w:cs="AdvOT1ef757c0"/>
          <w:sz w:val="20"/>
          <w:szCs w:val="20"/>
        </w:rPr>
        <w:t xml:space="preserve">ensured for </w:t>
      </w:r>
      <w:r w:rsidRPr="00D36A2C">
        <w:rPr>
          <w:rFonts w:cs="AdvOT1ef757c0"/>
          <w:sz w:val="20"/>
          <w:szCs w:val="20"/>
        </w:rPr>
        <w:t xml:space="preserve">all tier 1 and 2 countries </w:t>
      </w:r>
      <w:r w:rsidR="00CF28F1">
        <w:rPr>
          <w:rFonts w:cs="AdvOT1ef757c0"/>
          <w:sz w:val="20"/>
          <w:szCs w:val="20"/>
        </w:rPr>
        <w:t xml:space="preserve">(country </w:t>
      </w:r>
      <w:r w:rsidR="00CF28F1" w:rsidRPr="00CF28F1">
        <w:rPr>
          <w:sz w:val="20"/>
          <w:szCs w:val="20"/>
        </w:rPr>
        <w:t xml:space="preserve">tiers represent the level of risk of a </w:t>
      </w:r>
      <w:r w:rsidR="00CF28F1">
        <w:rPr>
          <w:sz w:val="20"/>
          <w:szCs w:val="20"/>
        </w:rPr>
        <w:t xml:space="preserve">type </w:t>
      </w:r>
      <w:r w:rsidR="00CF28F1" w:rsidRPr="00CF28F1">
        <w:rPr>
          <w:sz w:val="20"/>
          <w:szCs w:val="20"/>
        </w:rPr>
        <w:t xml:space="preserve">2 outbreak after the </w:t>
      </w:r>
      <w:r w:rsidR="00CF28F1">
        <w:rPr>
          <w:sz w:val="20"/>
          <w:szCs w:val="20"/>
        </w:rPr>
        <w:t>withdrawal of OPV2, with tier 1 the highest risk)</w:t>
      </w:r>
    </w:p>
    <w:p w:rsidR="00D7532F" w:rsidRPr="00D36A2C" w:rsidRDefault="00D7532F" w:rsidP="00D36A2C">
      <w:pPr>
        <w:spacing w:after="0" w:line="360" w:lineRule="auto"/>
        <w:ind w:firstLine="720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t xml:space="preserve">c. </w:t>
      </w:r>
      <w:r w:rsidR="00D36A2C" w:rsidRPr="00D36A2C">
        <w:rPr>
          <w:rFonts w:cs="AdvOT1ef757c0"/>
          <w:sz w:val="20"/>
          <w:szCs w:val="20"/>
        </w:rPr>
        <w:t>Delayed I</w:t>
      </w:r>
      <w:r w:rsidRPr="00D36A2C">
        <w:rPr>
          <w:rFonts w:cs="AdvOT1ef757c0"/>
          <w:sz w:val="20"/>
          <w:szCs w:val="20"/>
        </w:rPr>
        <w:t xml:space="preserve">PV introduction </w:t>
      </w:r>
      <w:r w:rsidR="00CF28F1">
        <w:rPr>
          <w:rFonts w:cs="AdvOT1ef757c0"/>
          <w:sz w:val="20"/>
          <w:szCs w:val="20"/>
        </w:rPr>
        <w:t>for 20 t</w:t>
      </w:r>
      <w:r w:rsidRPr="00D36A2C">
        <w:rPr>
          <w:rFonts w:cs="AdvOT1ef757c0"/>
          <w:sz w:val="20"/>
          <w:szCs w:val="20"/>
        </w:rPr>
        <w:t>ier 3 and 4 countries</w:t>
      </w:r>
      <w:r w:rsidR="00D36A2C" w:rsidRPr="00D36A2C">
        <w:rPr>
          <w:rFonts w:cs="AdvOT1ef757c0"/>
          <w:sz w:val="20"/>
          <w:szCs w:val="20"/>
        </w:rPr>
        <w:t xml:space="preserve"> </w:t>
      </w:r>
    </w:p>
    <w:p w:rsidR="00D7532F" w:rsidRPr="00D36A2C" w:rsidRDefault="00D7532F" w:rsidP="00BE2ECE">
      <w:pPr>
        <w:spacing w:after="0" w:line="360" w:lineRule="auto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t xml:space="preserve">3. Dose sparing strategy through administration of </w:t>
      </w:r>
      <w:r w:rsidR="00BE2ECE">
        <w:rPr>
          <w:rFonts w:cs="AdvOT1ef757c0"/>
          <w:sz w:val="20"/>
          <w:szCs w:val="20"/>
        </w:rPr>
        <w:t>intradermal (ID)</w:t>
      </w:r>
      <w:r w:rsidRPr="00D36A2C">
        <w:rPr>
          <w:rFonts w:cs="AdvOT1ef757c0"/>
          <w:sz w:val="20"/>
          <w:szCs w:val="20"/>
        </w:rPr>
        <w:t xml:space="preserve"> f</w:t>
      </w:r>
      <w:r w:rsidR="00BE2ECE">
        <w:rPr>
          <w:rFonts w:cs="AdvOT1ef757c0"/>
          <w:sz w:val="20"/>
          <w:szCs w:val="20"/>
        </w:rPr>
        <w:t xml:space="preserve">ractional </w:t>
      </w:r>
      <w:r w:rsidRPr="00D36A2C">
        <w:rPr>
          <w:rFonts w:cs="AdvOT1ef757c0"/>
          <w:sz w:val="20"/>
          <w:szCs w:val="20"/>
        </w:rPr>
        <w:t>IPV</w:t>
      </w:r>
      <w:r w:rsidR="00BE2ECE">
        <w:rPr>
          <w:rFonts w:cs="AdvOT1ef757c0"/>
          <w:sz w:val="20"/>
          <w:szCs w:val="20"/>
        </w:rPr>
        <w:t xml:space="preserve"> (fIPV)</w:t>
      </w:r>
      <w:r w:rsidRPr="00D36A2C">
        <w:rPr>
          <w:rFonts w:cs="AdvOT1ef757c0"/>
          <w:sz w:val="20"/>
          <w:szCs w:val="20"/>
        </w:rPr>
        <w:t xml:space="preserve"> (0.1ml or 1/5 </w:t>
      </w:r>
      <w:r w:rsidR="00BE2ECE">
        <w:rPr>
          <w:rFonts w:cs="AdvOT1ef757c0"/>
          <w:sz w:val="20"/>
          <w:szCs w:val="20"/>
        </w:rPr>
        <w:t xml:space="preserve">full </w:t>
      </w:r>
      <w:r w:rsidRPr="00D36A2C">
        <w:rPr>
          <w:rFonts w:cs="AdvOT1ef757c0"/>
          <w:sz w:val="20"/>
          <w:szCs w:val="20"/>
        </w:rPr>
        <w:t>dose)</w:t>
      </w:r>
    </w:p>
    <w:p w:rsidR="00D7532F" w:rsidRPr="00D36A2C" w:rsidRDefault="00D7532F" w:rsidP="00023411">
      <w:pPr>
        <w:spacing w:after="0" w:line="360" w:lineRule="auto"/>
        <w:ind w:firstLine="720"/>
        <w:rPr>
          <w:rFonts w:cs="AdvOT1ef757c0"/>
          <w:sz w:val="20"/>
          <w:szCs w:val="20"/>
        </w:rPr>
      </w:pPr>
      <w:proofErr w:type="gramStart"/>
      <w:r w:rsidRPr="00D36A2C">
        <w:rPr>
          <w:rFonts w:cs="AdvOT1ef757c0"/>
          <w:sz w:val="20"/>
          <w:szCs w:val="20"/>
        </w:rPr>
        <w:t>a</w:t>
      </w:r>
      <w:proofErr w:type="gramEnd"/>
      <w:r w:rsidRPr="00D36A2C">
        <w:rPr>
          <w:rFonts w:cs="AdvOT1ef757c0"/>
          <w:sz w:val="20"/>
          <w:szCs w:val="20"/>
        </w:rPr>
        <w:t xml:space="preserve">. In </w:t>
      </w:r>
      <w:r w:rsidR="00BE2ECE">
        <w:rPr>
          <w:rFonts w:cs="AdvOT1ef757c0"/>
          <w:sz w:val="20"/>
          <w:szCs w:val="20"/>
        </w:rPr>
        <w:t>outbreak response</w:t>
      </w:r>
      <w:r w:rsidRPr="00D36A2C">
        <w:rPr>
          <w:rFonts w:cs="AdvOT1ef757c0"/>
          <w:sz w:val="20"/>
          <w:szCs w:val="20"/>
        </w:rPr>
        <w:t xml:space="preserve"> as per protocol</w:t>
      </w:r>
      <w:r w:rsidR="00D57522">
        <w:rPr>
          <w:rStyle w:val="FootnoteReference"/>
          <w:rFonts w:cs="AdvOT1ef757c0"/>
          <w:sz w:val="20"/>
          <w:szCs w:val="20"/>
        </w:rPr>
        <w:footnoteReference w:id="2"/>
      </w:r>
      <w:r w:rsidRPr="00D36A2C">
        <w:rPr>
          <w:rFonts w:cs="AdvOT1ef757c0"/>
          <w:sz w:val="20"/>
          <w:szCs w:val="20"/>
        </w:rPr>
        <w:t xml:space="preserve"> </w:t>
      </w:r>
    </w:p>
    <w:p w:rsidR="00D7532F" w:rsidRPr="00D36A2C" w:rsidRDefault="00D7532F" w:rsidP="00BE2ECE">
      <w:pPr>
        <w:spacing w:after="0" w:line="360" w:lineRule="auto"/>
        <w:ind w:firstLine="720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lastRenderedPageBreak/>
        <w:t xml:space="preserve">b. 2 dose ID fIPV schedule in </w:t>
      </w:r>
      <w:r w:rsidR="00BE2ECE">
        <w:rPr>
          <w:rFonts w:cs="AdvOT1ef757c0"/>
          <w:sz w:val="20"/>
          <w:szCs w:val="20"/>
        </w:rPr>
        <w:t>routine immunisation (RI)</w:t>
      </w:r>
    </w:p>
    <w:p w:rsidR="00D36A2C" w:rsidRPr="00D36A2C" w:rsidRDefault="00D36A2C" w:rsidP="00D36A2C">
      <w:pPr>
        <w:spacing w:after="0" w:line="360" w:lineRule="auto"/>
        <w:rPr>
          <w:rFonts w:cs="AdvOT1ef757c0"/>
          <w:sz w:val="20"/>
          <w:szCs w:val="20"/>
        </w:rPr>
      </w:pPr>
    </w:p>
    <w:p w:rsidR="00B02119" w:rsidRPr="00D36A2C" w:rsidRDefault="00D36A2C" w:rsidP="00BE2ECE">
      <w:pPr>
        <w:spacing w:after="0" w:line="360" w:lineRule="auto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t>D</w:t>
      </w:r>
      <w:r w:rsidR="00E00232" w:rsidRPr="00D36A2C">
        <w:rPr>
          <w:rFonts w:cs="AdvOT1ef757c0"/>
          <w:sz w:val="20"/>
          <w:szCs w:val="20"/>
        </w:rPr>
        <w:t xml:space="preserve">espite </w:t>
      </w:r>
      <w:r w:rsidRPr="00D36A2C">
        <w:rPr>
          <w:rFonts w:cs="AdvOT1ef757c0"/>
          <w:sz w:val="20"/>
          <w:szCs w:val="20"/>
        </w:rPr>
        <w:t xml:space="preserve">the </w:t>
      </w:r>
      <w:r w:rsidR="00E00232" w:rsidRPr="00D36A2C">
        <w:rPr>
          <w:rFonts w:cs="AdvOT1ef757c0"/>
          <w:sz w:val="20"/>
          <w:szCs w:val="20"/>
        </w:rPr>
        <w:t>strategies</w:t>
      </w:r>
      <w:r w:rsidRPr="00D36A2C">
        <w:rPr>
          <w:rFonts w:cs="AdvOT1ef757c0"/>
          <w:sz w:val="20"/>
          <w:szCs w:val="20"/>
        </w:rPr>
        <w:t xml:space="preserve"> outlined,</w:t>
      </w:r>
      <w:r w:rsidR="00E00232" w:rsidRPr="00D36A2C">
        <w:rPr>
          <w:rFonts w:cs="AdvOT1ef757c0"/>
          <w:sz w:val="20"/>
          <w:szCs w:val="20"/>
        </w:rPr>
        <w:t xml:space="preserve"> </w:t>
      </w:r>
      <w:r w:rsidR="00BD235E" w:rsidRPr="00D36A2C">
        <w:rPr>
          <w:rFonts w:cs="AdvOT1ef757c0"/>
          <w:sz w:val="20"/>
          <w:szCs w:val="20"/>
        </w:rPr>
        <w:t xml:space="preserve">constraints in </w:t>
      </w:r>
      <w:r w:rsidR="00E00232" w:rsidRPr="00D36A2C">
        <w:rPr>
          <w:rFonts w:cs="AdvOT1ef757c0"/>
          <w:sz w:val="20"/>
          <w:szCs w:val="20"/>
        </w:rPr>
        <w:t>IPV supply continue</w:t>
      </w:r>
      <w:r w:rsidR="008060F7" w:rsidRPr="00D36A2C">
        <w:rPr>
          <w:rFonts w:cs="AdvOT1ef757c0"/>
          <w:sz w:val="20"/>
          <w:szCs w:val="20"/>
        </w:rPr>
        <w:t xml:space="preserve"> and may </w:t>
      </w:r>
      <w:r w:rsidRPr="00D36A2C">
        <w:rPr>
          <w:rFonts w:cs="AdvOT1ef757c0"/>
          <w:sz w:val="20"/>
          <w:szCs w:val="20"/>
        </w:rPr>
        <w:t xml:space="preserve">further </w:t>
      </w:r>
      <w:r w:rsidR="00BE2ECE" w:rsidRPr="00D36A2C">
        <w:rPr>
          <w:rFonts w:cs="AdvOT1ef757c0"/>
          <w:sz w:val="20"/>
          <w:szCs w:val="20"/>
        </w:rPr>
        <w:t>deteriorate</w:t>
      </w:r>
      <w:r w:rsidR="008060F7" w:rsidRPr="00D36A2C">
        <w:rPr>
          <w:rFonts w:cs="AdvOT1ef757c0"/>
          <w:sz w:val="20"/>
          <w:szCs w:val="20"/>
        </w:rPr>
        <w:t xml:space="preserve"> </w:t>
      </w:r>
      <w:r w:rsidR="00BD235E" w:rsidRPr="00D36A2C">
        <w:rPr>
          <w:rFonts w:cs="AdvOT1ef757c0"/>
          <w:sz w:val="20"/>
          <w:szCs w:val="20"/>
        </w:rPr>
        <w:t>should there be f</w:t>
      </w:r>
      <w:r w:rsidR="008060F7" w:rsidRPr="00D36A2C">
        <w:rPr>
          <w:rFonts w:cs="AdvOT1ef757c0"/>
          <w:sz w:val="20"/>
          <w:szCs w:val="20"/>
        </w:rPr>
        <w:t>urther reduction</w:t>
      </w:r>
      <w:r w:rsidR="00BD235E" w:rsidRPr="00D36A2C">
        <w:rPr>
          <w:rFonts w:cs="AdvOT1ef757c0"/>
          <w:sz w:val="20"/>
          <w:szCs w:val="20"/>
        </w:rPr>
        <w:t>s</w:t>
      </w:r>
      <w:r w:rsidR="008060F7" w:rsidRPr="00D36A2C">
        <w:rPr>
          <w:rFonts w:cs="AdvOT1ef757c0"/>
          <w:sz w:val="20"/>
          <w:szCs w:val="20"/>
        </w:rPr>
        <w:t xml:space="preserve"> in IPV production and supply </w:t>
      </w:r>
      <w:r w:rsidR="00BD235E" w:rsidRPr="00D36A2C">
        <w:rPr>
          <w:rFonts w:cs="AdvOT1ef757c0"/>
          <w:sz w:val="20"/>
          <w:szCs w:val="20"/>
        </w:rPr>
        <w:t>a</w:t>
      </w:r>
      <w:r w:rsidR="008060F7" w:rsidRPr="00D36A2C">
        <w:rPr>
          <w:rFonts w:cs="AdvOT1ef757c0"/>
          <w:sz w:val="20"/>
          <w:szCs w:val="20"/>
        </w:rPr>
        <w:t xml:space="preserve">s notified by </w:t>
      </w:r>
      <w:r w:rsidR="00BE2ECE">
        <w:rPr>
          <w:rFonts w:cs="AdvOT1ef757c0"/>
          <w:sz w:val="20"/>
          <w:szCs w:val="20"/>
        </w:rPr>
        <w:t>Bilthoven Biologicals and/or Sanofi-Pasteur.</w:t>
      </w:r>
    </w:p>
    <w:p w:rsidR="00D36A2C" w:rsidRPr="00D36A2C" w:rsidRDefault="00D36A2C" w:rsidP="00D36A2C">
      <w:pPr>
        <w:spacing w:after="0"/>
        <w:rPr>
          <w:b/>
          <w:bCs/>
          <w:sz w:val="20"/>
          <w:szCs w:val="20"/>
        </w:rPr>
      </w:pPr>
    </w:p>
    <w:p w:rsidR="00320B6F" w:rsidRPr="00D36A2C" w:rsidRDefault="00FF59DF" w:rsidP="00FF59DF">
      <w:pPr>
        <w:spacing w:after="0"/>
        <w:rPr>
          <w:b/>
          <w:bCs/>
          <w:sz w:val="20"/>
          <w:szCs w:val="20"/>
        </w:rPr>
      </w:pPr>
      <w:r w:rsidRPr="00D36A2C">
        <w:rPr>
          <w:b/>
          <w:bCs/>
          <w:sz w:val="20"/>
          <w:szCs w:val="20"/>
        </w:rPr>
        <w:t xml:space="preserve">SCIENTIFIC EVIDENCE of </w:t>
      </w:r>
      <w:r w:rsidR="00F63563" w:rsidRPr="00D36A2C">
        <w:rPr>
          <w:b/>
          <w:bCs/>
          <w:sz w:val="20"/>
          <w:szCs w:val="20"/>
        </w:rPr>
        <w:t>INTRADERMAL FRACTIONAL IPV</w:t>
      </w:r>
      <w:r w:rsidR="0023366D" w:rsidRPr="00D36A2C">
        <w:rPr>
          <w:b/>
          <w:bCs/>
          <w:sz w:val="20"/>
          <w:szCs w:val="20"/>
        </w:rPr>
        <w:t xml:space="preserve"> </w:t>
      </w:r>
    </w:p>
    <w:p w:rsidR="00D36A2C" w:rsidRPr="00D36A2C" w:rsidRDefault="00D36A2C" w:rsidP="00FF59DF">
      <w:pPr>
        <w:spacing w:after="0"/>
        <w:rPr>
          <w:b/>
          <w:bCs/>
          <w:sz w:val="20"/>
          <w:szCs w:val="20"/>
        </w:rPr>
      </w:pPr>
    </w:p>
    <w:p w:rsidR="00BD235E" w:rsidRPr="00D36A2C" w:rsidRDefault="00BD235E" w:rsidP="00D86BFE">
      <w:pPr>
        <w:spacing w:after="0" w:line="360" w:lineRule="auto"/>
        <w:rPr>
          <w:rFonts w:cs="AdvOT1ef757c0"/>
          <w:sz w:val="20"/>
          <w:szCs w:val="20"/>
        </w:rPr>
      </w:pPr>
      <w:r w:rsidRPr="00D36A2C">
        <w:rPr>
          <w:rFonts w:cs="AdvOT1ef757c0"/>
          <w:sz w:val="20"/>
          <w:szCs w:val="20"/>
        </w:rPr>
        <w:t>There is a growing body of scientific evidence on the safety and immunogenicity of intradermal (ID) fractional IPV (fIPV) dose administration, which delivers 0.1ml or 1/5 full intramuscular (IM) dose. Studies have been conducted for ID fIPV-dose as primary series in RI schedules (6, 10, 14 weeks; 2, 4, 6 months, 4, 8 months) as well as for boosting.</w:t>
      </w:r>
      <w:r w:rsidR="00D86BFE">
        <w:rPr>
          <w:rFonts w:cs="AdvOT1ef757c0"/>
          <w:sz w:val="20"/>
          <w:szCs w:val="20"/>
        </w:rPr>
        <w:t xml:space="preserve"> A comparison of the immunity to type </w:t>
      </w:r>
      <w:proofErr w:type="gramStart"/>
      <w:r w:rsidR="00D86BFE">
        <w:rPr>
          <w:rFonts w:cs="AdvOT1ef757c0"/>
          <w:sz w:val="20"/>
          <w:szCs w:val="20"/>
        </w:rPr>
        <w:t>2 poliovirus</w:t>
      </w:r>
      <w:proofErr w:type="gramEnd"/>
      <w:r w:rsidR="00D86BFE">
        <w:rPr>
          <w:rFonts w:cs="AdvOT1ef757c0"/>
          <w:sz w:val="20"/>
          <w:szCs w:val="20"/>
        </w:rPr>
        <w:t xml:space="preserve"> after one full dose IM IPV with two or one doses of </w:t>
      </w:r>
      <w:r w:rsidR="00CE2AFB">
        <w:rPr>
          <w:rFonts w:cs="AdvOT1ef757c0"/>
          <w:sz w:val="20"/>
          <w:szCs w:val="20"/>
        </w:rPr>
        <w:t xml:space="preserve">ID </w:t>
      </w:r>
      <w:r w:rsidR="00D86BFE">
        <w:rPr>
          <w:rFonts w:cs="AdvOT1ef757c0"/>
          <w:sz w:val="20"/>
          <w:szCs w:val="20"/>
        </w:rPr>
        <w:t>fractional IPV from studies is shown in table 1 and 2, respectively.</w:t>
      </w:r>
    </w:p>
    <w:p w:rsidR="00BD235E" w:rsidRPr="00D36A2C" w:rsidRDefault="00BD235E" w:rsidP="00BD235E">
      <w:pPr>
        <w:spacing w:after="0" w:line="360" w:lineRule="auto"/>
        <w:rPr>
          <w:rFonts w:cstheme="minorHAnsi"/>
          <w:spacing w:val="2"/>
          <w:sz w:val="20"/>
          <w:szCs w:val="20"/>
        </w:rPr>
      </w:pPr>
    </w:p>
    <w:p w:rsidR="0064658B" w:rsidRPr="00D36A2C" w:rsidRDefault="0023366D" w:rsidP="00D7532F">
      <w:pPr>
        <w:spacing w:after="0" w:line="360" w:lineRule="auto"/>
        <w:rPr>
          <w:rFonts w:cstheme="minorHAnsi"/>
          <w:spacing w:val="2"/>
          <w:sz w:val="20"/>
          <w:szCs w:val="20"/>
          <w:u w:val="single"/>
        </w:rPr>
      </w:pPr>
      <w:r w:rsidRPr="00D36A2C">
        <w:rPr>
          <w:rFonts w:cstheme="minorHAnsi"/>
          <w:spacing w:val="2"/>
          <w:sz w:val="20"/>
          <w:szCs w:val="20"/>
          <w:u w:val="single"/>
        </w:rPr>
        <w:t>RI</w:t>
      </w:r>
      <w:r w:rsidR="00FF59DF" w:rsidRPr="00D36A2C">
        <w:rPr>
          <w:rFonts w:cstheme="minorHAnsi"/>
          <w:spacing w:val="2"/>
          <w:sz w:val="20"/>
          <w:szCs w:val="20"/>
          <w:u w:val="single"/>
        </w:rPr>
        <w:t xml:space="preserve"> studies</w:t>
      </w:r>
      <w:r w:rsidR="0064658B" w:rsidRPr="00D36A2C">
        <w:rPr>
          <w:rFonts w:cstheme="minorHAnsi"/>
          <w:spacing w:val="2"/>
          <w:sz w:val="20"/>
          <w:szCs w:val="20"/>
          <w:u w:val="single"/>
        </w:rPr>
        <w:t xml:space="preserve"> (primary series)</w:t>
      </w:r>
      <w:r w:rsidRPr="00D36A2C">
        <w:rPr>
          <w:rFonts w:cstheme="minorHAnsi"/>
          <w:spacing w:val="2"/>
          <w:sz w:val="20"/>
          <w:szCs w:val="20"/>
          <w:u w:val="single"/>
        </w:rPr>
        <w:t>:</w:t>
      </w:r>
    </w:p>
    <w:p w:rsidR="0064658B" w:rsidRPr="00D36A2C" w:rsidRDefault="0064658B" w:rsidP="00D7532F">
      <w:pPr>
        <w:spacing w:after="0" w:line="360" w:lineRule="auto"/>
        <w:rPr>
          <w:rFonts w:cstheme="minorHAnsi"/>
          <w:i/>
          <w:iCs/>
          <w:spacing w:val="2"/>
          <w:sz w:val="20"/>
          <w:szCs w:val="20"/>
        </w:rPr>
      </w:pPr>
      <w:r w:rsidRPr="00D36A2C">
        <w:rPr>
          <w:rFonts w:cstheme="minorHAnsi"/>
          <w:i/>
          <w:iCs/>
          <w:spacing w:val="2"/>
          <w:sz w:val="20"/>
          <w:szCs w:val="20"/>
        </w:rPr>
        <w:t>Seroconversion</w:t>
      </w:r>
    </w:p>
    <w:p w:rsidR="0064658B" w:rsidRPr="00D36A2C" w:rsidRDefault="0064658B" w:rsidP="00C13CE2">
      <w:pPr>
        <w:spacing w:after="0" w:line="360" w:lineRule="auto"/>
        <w:rPr>
          <w:rFonts w:cstheme="minorHAnsi"/>
          <w:spacing w:val="2"/>
          <w:sz w:val="20"/>
          <w:szCs w:val="20"/>
        </w:rPr>
      </w:pPr>
      <w:r w:rsidRPr="00D36A2C">
        <w:rPr>
          <w:rFonts w:cstheme="minorHAnsi"/>
          <w:spacing w:val="2"/>
          <w:sz w:val="20"/>
          <w:szCs w:val="20"/>
        </w:rPr>
        <w:t>A study conducted in the Philippines</w:t>
      </w:r>
      <w:r w:rsidR="00A65150" w:rsidRPr="00D36A2C">
        <w:rPr>
          <w:rStyle w:val="FootnoteReference"/>
          <w:sz w:val="20"/>
          <w:szCs w:val="20"/>
        </w:rPr>
        <w:footnoteReference w:id="3"/>
      </w:r>
      <w:r w:rsidRPr="00D36A2C">
        <w:rPr>
          <w:rFonts w:cstheme="minorHAnsi"/>
          <w:spacing w:val="2"/>
          <w:sz w:val="20"/>
          <w:szCs w:val="20"/>
        </w:rPr>
        <w:t xml:space="preserve"> demonstrated feasibility of ID fIPV in primary series administered at 6, 10, 14 weeks: </w:t>
      </w:r>
      <w:r w:rsidR="00D01CF4">
        <w:rPr>
          <w:rFonts w:cstheme="minorHAnsi"/>
          <w:spacing w:val="2"/>
          <w:sz w:val="20"/>
          <w:szCs w:val="20"/>
        </w:rPr>
        <w:t xml:space="preserve">cumulative </w:t>
      </w:r>
      <w:r w:rsidRPr="00D36A2C">
        <w:rPr>
          <w:rFonts w:cstheme="minorHAnsi"/>
          <w:spacing w:val="2"/>
          <w:sz w:val="20"/>
          <w:szCs w:val="20"/>
        </w:rPr>
        <w:t>seroconversion</w:t>
      </w:r>
      <w:r w:rsidR="00C13CE2">
        <w:rPr>
          <w:rFonts w:cstheme="minorHAnsi"/>
          <w:spacing w:val="2"/>
          <w:sz w:val="20"/>
          <w:szCs w:val="20"/>
        </w:rPr>
        <w:t xml:space="preserve"> rates against poliovirus type 2</w:t>
      </w:r>
      <w:r w:rsidRPr="00D36A2C">
        <w:rPr>
          <w:rFonts w:cstheme="minorHAnsi"/>
          <w:spacing w:val="2"/>
          <w:sz w:val="20"/>
          <w:szCs w:val="20"/>
        </w:rPr>
        <w:t xml:space="preserve"> were </w:t>
      </w:r>
      <w:r w:rsidR="00CF28F1">
        <w:rPr>
          <w:rFonts w:cstheme="minorHAnsi"/>
          <w:spacing w:val="2"/>
          <w:sz w:val="20"/>
          <w:szCs w:val="20"/>
        </w:rPr>
        <w:t>94.5%</w:t>
      </w:r>
      <w:r w:rsidRPr="00D36A2C">
        <w:rPr>
          <w:rFonts w:cstheme="minorHAnsi"/>
          <w:spacing w:val="2"/>
          <w:sz w:val="20"/>
          <w:szCs w:val="20"/>
        </w:rPr>
        <w:t xml:space="preserve"> in the ID fIPV study arm compared to </w:t>
      </w:r>
      <w:r w:rsidR="00583AAB">
        <w:rPr>
          <w:rFonts w:cstheme="minorHAnsi"/>
          <w:spacing w:val="2"/>
          <w:sz w:val="20"/>
          <w:szCs w:val="20"/>
        </w:rPr>
        <w:t>98.2</w:t>
      </w:r>
      <w:r w:rsidR="00CF28F1">
        <w:rPr>
          <w:rFonts w:cstheme="minorHAnsi"/>
          <w:spacing w:val="2"/>
          <w:sz w:val="20"/>
          <w:szCs w:val="20"/>
        </w:rPr>
        <w:t>%</w:t>
      </w:r>
      <w:r w:rsidRPr="00D36A2C">
        <w:rPr>
          <w:rFonts w:cstheme="minorHAnsi"/>
          <w:spacing w:val="2"/>
          <w:sz w:val="20"/>
          <w:szCs w:val="20"/>
        </w:rPr>
        <w:t xml:space="preserve"> in the IM IPV study arm. </w:t>
      </w:r>
    </w:p>
    <w:p w:rsidR="00D36A2C" w:rsidRDefault="00D36A2C" w:rsidP="00D7532F">
      <w:pPr>
        <w:spacing w:after="0" w:line="360" w:lineRule="auto"/>
        <w:rPr>
          <w:rFonts w:cstheme="minorHAnsi"/>
          <w:spacing w:val="2"/>
          <w:sz w:val="20"/>
          <w:szCs w:val="20"/>
        </w:rPr>
      </w:pPr>
    </w:p>
    <w:p w:rsidR="0064658B" w:rsidRPr="00D36A2C" w:rsidRDefault="00124FA1" w:rsidP="00BB3090">
      <w:pPr>
        <w:spacing w:after="0" w:line="360" w:lineRule="auto"/>
        <w:rPr>
          <w:rFonts w:cstheme="minorHAnsi"/>
          <w:spacing w:val="2"/>
          <w:sz w:val="20"/>
          <w:szCs w:val="20"/>
        </w:rPr>
      </w:pPr>
      <w:r>
        <w:rPr>
          <w:rFonts w:cstheme="minorHAnsi"/>
          <w:spacing w:val="2"/>
          <w:sz w:val="20"/>
          <w:szCs w:val="20"/>
        </w:rPr>
        <w:t>Results from a</w:t>
      </w:r>
      <w:r w:rsidR="0064658B" w:rsidRPr="00D36A2C">
        <w:rPr>
          <w:rFonts w:cstheme="minorHAnsi"/>
          <w:spacing w:val="2"/>
          <w:sz w:val="20"/>
          <w:szCs w:val="20"/>
        </w:rPr>
        <w:t xml:space="preserve"> study conducted in Cuba</w:t>
      </w:r>
      <w:r w:rsidR="00A65150" w:rsidRPr="00D36A2C">
        <w:rPr>
          <w:rStyle w:val="FootnoteReference"/>
          <w:rFonts w:cstheme="minorHAnsi"/>
          <w:spacing w:val="2"/>
          <w:sz w:val="20"/>
          <w:szCs w:val="20"/>
        </w:rPr>
        <w:footnoteReference w:id="4"/>
      </w:r>
      <w:r w:rsidR="00A65150" w:rsidRPr="00D36A2C">
        <w:rPr>
          <w:rFonts w:cstheme="minorHAnsi"/>
          <w:spacing w:val="2"/>
          <w:sz w:val="20"/>
          <w:szCs w:val="20"/>
        </w:rPr>
        <w:t xml:space="preserve"> </w:t>
      </w:r>
      <w:r w:rsidR="0064658B" w:rsidRPr="00D36A2C">
        <w:rPr>
          <w:rFonts w:cstheme="minorHAnsi"/>
          <w:spacing w:val="2"/>
          <w:sz w:val="20"/>
          <w:szCs w:val="20"/>
        </w:rPr>
        <w:t xml:space="preserve"> where IPV was administered at 4 and 8 months demonstrated seroconversion rates</w:t>
      </w:r>
      <w:r w:rsidR="00C13CE2">
        <w:rPr>
          <w:rFonts w:cstheme="minorHAnsi"/>
          <w:spacing w:val="2"/>
          <w:sz w:val="20"/>
          <w:szCs w:val="20"/>
        </w:rPr>
        <w:t xml:space="preserve"> against poliovirus type 2</w:t>
      </w:r>
      <w:r w:rsidR="0064658B" w:rsidRPr="00D36A2C">
        <w:rPr>
          <w:rFonts w:cstheme="minorHAnsi"/>
          <w:spacing w:val="2"/>
          <w:sz w:val="20"/>
          <w:szCs w:val="20"/>
        </w:rPr>
        <w:t xml:space="preserve"> of </w:t>
      </w:r>
      <w:r w:rsidR="00C13CE2">
        <w:rPr>
          <w:rFonts w:cstheme="minorHAnsi"/>
          <w:spacing w:val="2"/>
          <w:sz w:val="20"/>
          <w:szCs w:val="20"/>
        </w:rPr>
        <w:t>47.1%</w:t>
      </w:r>
      <w:r w:rsidR="00BB3090">
        <w:rPr>
          <w:rFonts w:cstheme="minorHAnsi"/>
          <w:spacing w:val="2"/>
          <w:sz w:val="20"/>
          <w:szCs w:val="20"/>
        </w:rPr>
        <w:t xml:space="preserve">, </w:t>
      </w:r>
      <w:r w:rsidR="0082518A" w:rsidRPr="00F84A64">
        <w:rPr>
          <w:rFonts w:cstheme="minorHAnsi"/>
          <w:spacing w:val="2"/>
          <w:sz w:val="20"/>
          <w:szCs w:val="20"/>
        </w:rPr>
        <w:t>98.1</w:t>
      </w:r>
      <w:r w:rsidR="008A1C11">
        <w:rPr>
          <w:rFonts w:cstheme="minorHAnsi"/>
          <w:spacing w:val="2"/>
          <w:sz w:val="20"/>
          <w:szCs w:val="20"/>
        </w:rPr>
        <w:t>%</w:t>
      </w:r>
      <w:r w:rsidR="0064658B" w:rsidRPr="00D36A2C">
        <w:rPr>
          <w:rFonts w:cstheme="minorHAnsi"/>
          <w:spacing w:val="2"/>
          <w:sz w:val="20"/>
          <w:szCs w:val="20"/>
        </w:rPr>
        <w:t xml:space="preserve"> in th</w:t>
      </w:r>
      <w:r w:rsidR="00C13CE2">
        <w:rPr>
          <w:rFonts w:cstheme="minorHAnsi"/>
          <w:spacing w:val="2"/>
          <w:sz w:val="20"/>
          <w:szCs w:val="20"/>
        </w:rPr>
        <w:t>e</w:t>
      </w:r>
      <w:r w:rsidR="0064658B" w:rsidRPr="00D36A2C">
        <w:rPr>
          <w:rFonts w:cstheme="minorHAnsi"/>
          <w:spacing w:val="2"/>
          <w:sz w:val="20"/>
          <w:szCs w:val="20"/>
        </w:rPr>
        <w:t xml:space="preserve"> ID fIPV study arm</w:t>
      </w:r>
      <w:r w:rsidR="00C13CE2">
        <w:rPr>
          <w:rFonts w:cstheme="minorHAnsi"/>
          <w:spacing w:val="2"/>
          <w:sz w:val="20"/>
          <w:szCs w:val="20"/>
        </w:rPr>
        <w:t xml:space="preserve"> </w:t>
      </w:r>
      <w:r w:rsidR="0064658B" w:rsidRPr="00D36A2C">
        <w:rPr>
          <w:rFonts w:cstheme="minorHAnsi"/>
          <w:spacing w:val="2"/>
          <w:sz w:val="20"/>
          <w:szCs w:val="20"/>
        </w:rPr>
        <w:t xml:space="preserve">compared to </w:t>
      </w:r>
      <w:r w:rsidR="008A1C11">
        <w:rPr>
          <w:rFonts w:cstheme="minorHAnsi"/>
          <w:spacing w:val="2"/>
          <w:sz w:val="20"/>
          <w:szCs w:val="20"/>
        </w:rPr>
        <w:t>62.7%</w:t>
      </w:r>
      <w:r w:rsidR="00BB3090">
        <w:rPr>
          <w:rFonts w:cstheme="minorHAnsi"/>
          <w:spacing w:val="2"/>
          <w:sz w:val="20"/>
          <w:szCs w:val="20"/>
        </w:rPr>
        <w:t xml:space="preserve">, </w:t>
      </w:r>
      <w:r w:rsidR="0082518A">
        <w:rPr>
          <w:rFonts w:cstheme="minorHAnsi"/>
          <w:spacing w:val="2"/>
          <w:sz w:val="20"/>
          <w:szCs w:val="20"/>
        </w:rPr>
        <w:t>100%</w:t>
      </w:r>
      <w:r w:rsidR="0064658B" w:rsidRPr="00D36A2C">
        <w:rPr>
          <w:rFonts w:cstheme="minorHAnsi"/>
          <w:spacing w:val="2"/>
          <w:sz w:val="20"/>
          <w:szCs w:val="20"/>
        </w:rPr>
        <w:t xml:space="preserve"> in IM study arm.</w:t>
      </w:r>
    </w:p>
    <w:p w:rsidR="00D36A2C" w:rsidRDefault="00D36A2C" w:rsidP="00D7532F">
      <w:pPr>
        <w:spacing w:after="0" w:line="360" w:lineRule="auto"/>
        <w:rPr>
          <w:rFonts w:cstheme="minorHAnsi"/>
          <w:spacing w:val="2"/>
          <w:sz w:val="20"/>
          <w:szCs w:val="20"/>
        </w:rPr>
      </w:pPr>
    </w:p>
    <w:p w:rsidR="0064658B" w:rsidRPr="00D36A2C" w:rsidRDefault="0064658B" w:rsidP="00BB3090">
      <w:pPr>
        <w:spacing w:after="0" w:line="360" w:lineRule="auto"/>
        <w:rPr>
          <w:rFonts w:cstheme="minorHAnsi"/>
          <w:spacing w:val="2"/>
          <w:sz w:val="20"/>
          <w:szCs w:val="20"/>
        </w:rPr>
      </w:pPr>
      <w:r w:rsidRPr="00D36A2C">
        <w:rPr>
          <w:rFonts w:cstheme="minorHAnsi"/>
          <w:spacing w:val="2"/>
          <w:sz w:val="20"/>
          <w:szCs w:val="20"/>
        </w:rPr>
        <w:t>Another study conducted in Bangladesh</w:t>
      </w:r>
      <w:r w:rsidR="00A65150" w:rsidRPr="00D36A2C">
        <w:rPr>
          <w:rStyle w:val="FootnoteReference"/>
          <w:rFonts w:cstheme="minorHAnsi"/>
          <w:spacing w:val="2"/>
          <w:sz w:val="20"/>
          <w:szCs w:val="20"/>
        </w:rPr>
        <w:footnoteReference w:id="5"/>
      </w:r>
      <w:r w:rsidRPr="00D36A2C">
        <w:rPr>
          <w:rFonts w:cstheme="minorHAnsi"/>
          <w:spacing w:val="2"/>
          <w:sz w:val="20"/>
          <w:szCs w:val="20"/>
        </w:rPr>
        <w:t xml:space="preserve"> where IPV was administered at 6</w:t>
      </w:r>
      <w:r w:rsidR="00BB3090">
        <w:rPr>
          <w:rFonts w:cstheme="minorHAnsi"/>
          <w:spacing w:val="2"/>
          <w:sz w:val="20"/>
          <w:szCs w:val="20"/>
        </w:rPr>
        <w:t xml:space="preserve"> and</w:t>
      </w:r>
      <w:r w:rsidRPr="00D36A2C">
        <w:rPr>
          <w:rFonts w:cstheme="minorHAnsi"/>
          <w:spacing w:val="2"/>
          <w:sz w:val="20"/>
          <w:szCs w:val="20"/>
        </w:rPr>
        <w:t xml:space="preserve"> 14 weeks demonstrated seroconversion rates </w:t>
      </w:r>
      <w:r w:rsidR="00044573">
        <w:rPr>
          <w:rFonts w:cstheme="minorHAnsi"/>
          <w:spacing w:val="2"/>
          <w:sz w:val="20"/>
          <w:szCs w:val="20"/>
        </w:rPr>
        <w:t xml:space="preserve"> against poliovirus type 2 </w:t>
      </w:r>
      <w:r w:rsidRPr="00D36A2C">
        <w:rPr>
          <w:rFonts w:cstheme="minorHAnsi"/>
          <w:spacing w:val="2"/>
          <w:sz w:val="20"/>
          <w:szCs w:val="20"/>
        </w:rPr>
        <w:t xml:space="preserve">of </w:t>
      </w:r>
      <w:r w:rsidR="00DC23EE">
        <w:rPr>
          <w:rFonts w:cstheme="minorHAnsi"/>
          <w:spacing w:val="2"/>
          <w:sz w:val="20"/>
          <w:szCs w:val="20"/>
        </w:rPr>
        <w:t>19.4%</w:t>
      </w:r>
      <w:r w:rsidRPr="00D36A2C">
        <w:rPr>
          <w:rFonts w:cstheme="minorHAnsi"/>
          <w:spacing w:val="2"/>
          <w:sz w:val="20"/>
          <w:szCs w:val="20"/>
        </w:rPr>
        <w:t xml:space="preserve">, </w:t>
      </w:r>
      <w:r w:rsidR="00BB3090">
        <w:rPr>
          <w:rFonts w:cstheme="minorHAnsi"/>
          <w:spacing w:val="2"/>
          <w:sz w:val="20"/>
          <w:szCs w:val="20"/>
        </w:rPr>
        <w:t>80.9%</w:t>
      </w:r>
      <w:r w:rsidRPr="00D36A2C">
        <w:rPr>
          <w:rFonts w:cstheme="minorHAnsi"/>
          <w:spacing w:val="2"/>
          <w:sz w:val="20"/>
          <w:szCs w:val="20"/>
        </w:rPr>
        <w:t xml:space="preserve"> in the ID fIPV study arm, compared to </w:t>
      </w:r>
      <w:r w:rsidR="00BB3090">
        <w:rPr>
          <w:rFonts w:cstheme="minorHAnsi"/>
          <w:spacing w:val="2"/>
          <w:sz w:val="20"/>
          <w:szCs w:val="20"/>
        </w:rPr>
        <w:t>38.5%</w:t>
      </w:r>
      <w:r w:rsidRPr="00D36A2C">
        <w:rPr>
          <w:rFonts w:cstheme="minorHAnsi"/>
          <w:spacing w:val="2"/>
          <w:sz w:val="20"/>
          <w:szCs w:val="20"/>
        </w:rPr>
        <w:t xml:space="preserve">, </w:t>
      </w:r>
      <w:r w:rsidR="00BB3090">
        <w:rPr>
          <w:rFonts w:cstheme="minorHAnsi"/>
          <w:spacing w:val="2"/>
          <w:sz w:val="20"/>
          <w:szCs w:val="20"/>
        </w:rPr>
        <w:t>91%</w:t>
      </w:r>
      <w:r w:rsidRPr="00D36A2C">
        <w:rPr>
          <w:rFonts w:cstheme="minorHAnsi"/>
          <w:spacing w:val="2"/>
          <w:sz w:val="20"/>
          <w:szCs w:val="20"/>
        </w:rPr>
        <w:t>, in the IM IPV study arm.</w:t>
      </w:r>
    </w:p>
    <w:p w:rsidR="00416760" w:rsidRDefault="00416760" w:rsidP="00D7532F">
      <w:pPr>
        <w:spacing w:after="0" w:line="360" w:lineRule="auto"/>
        <w:rPr>
          <w:rFonts w:cstheme="minorHAnsi"/>
          <w:spacing w:val="2"/>
          <w:sz w:val="20"/>
          <w:szCs w:val="20"/>
        </w:rPr>
      </w:pPr>
    </w:p>
    <w:p w:rsidR="00D752A4" w:rsidRPr="00D75490" w:rsidRDefault="00D752A4" w:rsidP="00D7532F">
      <w:pPr>
        <w:spacing w:after="0" w:line="360" w:lineRule="auto"/>
        <w:rPr>
          <w:rFonts w:cstheme="minorHAnsi"/>
          <w:b/>
          <w:bCs/>
          <w:i/>
          <w:iCs/>
          <w:spacing w:val="2"/>
          <w:sz w:val="20"/>
          <w:szCs w:val="20"/>
        </w:rPr>
      </w:pPr>
      <w:r w:rsidRPr="00D75490">
        <w:rPr>
          <w:rFonts w:cstheme="minorHAnsi"/>
          <w:b/>
          <w:bCs/>
          <w:spacing w:val="2"/>
          <w:sz w:val="20"/>
          <w:szCs w:val="20"/>
        </w:rPr>
        <w:t>2 fractional doses vs 1 full dose:</w:t>
      </w:r>
    </w:p>
    <w:p w:rsidR="0064658B" w:rsidRPr="00D36A2C" w:rsidRDefault="0064658B" w:rsidP="00D7532F">
      <w:pPr>
        <w:spacing w:after="0" w:line="360" w:lineRule="auto"/>
        <w:rPr>
          <w:rFonts w:cstheme="minorHAnsi"/>
          <w:bCs/>
          <w:spacing w:val="2"/>
          <w:sz w:val="20"/>
          <w:szCs w:val="20"/>
        </w:rPr>
      </w:pPr>
      <w:r w:rsidRPr="00D36A2C">
        <w:rPr>
          <w:rFonts w:cstheme="minorHAnsi"/>
          <w:spacing w:val="2"/>
          <w:sz w:val="20"/>
          <w:szCs w:val="20"/>
        </w:rPr>
        <w:t>Furthermore, t</w:t>
      </w:r>
      <w:r w:rsidRPr="00D36A2C">
        <w:rPr>
          <w:rFonts w:cstheme="minorHAnsi"/>
          <w:bCs/>
          <w:spacing w:val="2"/>
          <w:sz w:val="20"/>
          <w:szCs w:val="20"/>
        </w:rPr>
        <w:t xml:space="preserve">he seroconversion rate </w:t>
      </w:r>
      <w:r w:rsidR="00044573">
        <w:rPr>
          <w:rFonts w:cstheme="minorHAnsi"/>
          <w:bCs/>
          <w:spacing w:val="2"/>
          <w:sz w:val="20"/>
          <w:szCs w:val="20"/>
        </w:rPr>
        <w:t>against poliovirus type 2</w:t>
      </w:r>
      <w:r w:rsidR="00044573" w:rsidRPr="00D36A2C">
        <w:rPr>
          <w:rFonts w:cstheme="minorHAnsi"/>
          <w:bCs/>
          <w:spacing w:val="2"/>
          <w:sz w:val="20"/>
          <w:szCs w:val="20"/>
        </w:rPr>
        <w:t xml:space="preserve"> </w:t>
      </w:r>
      <w:r w:rsidRPr="00D36A2C">
        <w:rPr>
          <w:rFonts w:cstheme="minorHAnsi"/>
          <w:bCs/>
          <w:spacing w:val="2"/>
          <w:sz w:val="20"/>
          <w:szCs w:val="20"/>
        </w:rPr>
        <w:t>reported following two fractional doses at 6 and 14 weeks (i.e. 81%) in Bangladesh is higher than the seroconversion</w:t>
      </w:r>
      <w:r w:rsidR="00044573">
        <w:rPr>
          <w:rFonts w:cstheme="minorHAnsi"/>
          <w:bCs/>
          <w:spacing w:val="2"/>
          <w:sz w:val="20"/>
          <w:szCs w:val="20"/>
        </w:rPr>
        <w:t xml:space="preserve"> against poliovirus type 2</w:t>
      </w:r>
      <w:r w:rsidRPr="00D36A2C">
        <w:rPr>
          <w:rFonts w:cstheme="minorHAnsi"/>
          <w:bCs/>
          <w:spacing w:val="2"/>
          <w:sz w:val="20"/>
          <w:szCs w:val="20"/>
        </w:rPr>
        <w:t xml:space="preserve"> following one full dose of </w:t>
      </w:r>
      <w:r w:rsidRPr="00D36A2C">
        <w:rPr>
          <w:rFonts w:cstheme="minorHAnsi"/>
          <w:bCs/>
          <w:spacing w:val="2"/>
          <w:sz w:val="20"/>
          <w:szCs w:val="20"/>
        </w:rPr>
        <w:lastRenderedPageBreak/>
        <w:t>IPV given at 14 weeks (73%) reported from a subsequent trial, conducted by the same investigators, in a similar study population in Bangladesh, using the same laboratory.</w:t>
      </w:r>
      <w:r w:rsidRPr="00D36A2C">
        <w:rPr>
          <w:rFonts w:cstheme="minorHAnsi"/>
          <w:bCs/>
          <w:spacing w:val="2"/>
          <w:sz w:val="20"/>
          <w:szCs w:val="20"/>
          <w:vertAlign w:val="superscript"/>
        </w:rPr>
        <w:footnoteReference w:id="6"/>
      </w:r>
      <w:r w:rsidRPr="00D36A2C">
        <w:rPr>
          <w:rFonts w:cstheme="minorHAnsi"/>
          <w:bCs/>
          <w:spacing w:val="2"/>
          <w:sz w:val="20"/>
          <w:szCs w:val="20"/>
        </w:rPr>
        <w:t xml:space="preserve"> </w:t>
      </w:r>
      <w:r w:rsidR="00D752A4">
        <w:rPr>
          <w:rFonts w:cstheme="minorHAnsi"/>
          <w:bCs/>
          <w:spacing w:val="2"/>
          <w:sz w:val="20"/>
          <w:szCs w:val="20"/>
        </w:rPr>
        <w:t>Table 1 summarises the recent studies.</w:t>
      </w:r>
    </w:p>
    <w:p w:rsidR="0064658B" w:rsidRPr="00D36A2C" w:rsidRDefault="0064658B" w:rsidP="00D7532F">
      <w:pPr>
        <w:spacing w:after="0" w:line="360" w:lineRule="auto"/>
        <w:rPr>
          <w:rFonts w:cstheme="minorHAnsi"/>
          <w:spacing w:val="2"/>
          <w:sz w:val="20"/>
          <w:szCs w:val="20"/>
        </w:rPr>
      </w:pPr>
    </w:p>
    <w:p w:rsidR="00416760" w:rsidRPr="00D36A2C" w:rsidRDefault="00124FA1" w:rsidP="00BB3090">
      <w:pPr>
        <w:spacing w:after="0" w:line="360" w:lineRule="auto"/>
        <w:rPr>
          <w:rFonts w:cstheme="minorHAnsi"/>
          <w:spacing w:val="2"/>
          <w:sz w:val="20"/>
          <w:szCs w:val="20"/>
        </w:rPr>
      </w:pPr>
      <w:r w:rsidRPr="00124FA1">
        <w:rPr>
          <w:rFonts w:cstheme="minorHAnsi"/>
          <w:b/>
          <w:bCs/>
          <w:color w:val="FF0000"/>
          <w:spacing w:val="2"/>
          <w:sz w:val="20"/>
          <w:szCs w:val="20"/>
        </w:rPr>
        <w:t>The r</w:t>
      </w:r>
      <w:r w:rsidR="00D36A2C" w:rsidRPr="00124FA1">
        <w:rPr>
          <w:rFonts w:cstheme="minorHAnsi"/>
          <w:b/>
          <w:bCs/>
          <w:color w:val="FF0000"/>
          <w:spacing w:val="2"/>
          <w:sz w:val="20"/>
          <w:szCs w:val="20"/>
        </w:rPr>
        <w:t>esults from these studies</w:t>
      </w:r>
      <w:r w:rsidR="00416760" w:rsidRPr="00124FA1">
        <w:rPr>
          <w:rFonts w:cstheme="minorHAnsi"/>
          <w:b/>
          <w:bCs/>
          <w:color w:val="FF0000"/>
          <w:spacing w:val="2"/>
          <w:sz w:val="20"/>
          <w:szCs w:val="20"/>
        </w:rPr>
        <w:t xml:space="preserve"> indicate that 2 fIPV doses provide higher seroconversion rates</w:t>
      </w:r>
      <w:r w:rsidR="00044573">
        <w:rPr>
          <w:rFonts w:cstheme="minorHAnsi"/>
          <w:b/>
          <w:bCs/>
          <w:color w:val="FF0000"/>
          <w:spacing w:val="2"/>
          <w:sz w:val="20"/>
          <w:szCs w:val="20"/>
        </w:rPr>
        <w:t xml:space="preserve"> against poliovirus type 2</w:t>
      </w:r>
      <w:r w:rsidR="00416760" w:rsidRPr="00124FA1">
        <w:rPr>
          <w:rFonts w:cstheme="minorHAnsi"/>
          <w:b/>
          <w:bCs/>
          <w:color w:val="FF0000"/>
          <w:spacing w:val="2"/>
          <w:sz w:val="20"/>
          <w:szCs w:val="20"/>
        </w:rPr>
        <w:t xml:space="preserve"> than a single IM IPV dose</w:t>
      </w:r>
      <w:r w:rsidR="00416760" w:rsidRPr="00D36A2C">
        <w:rPr>
          <w:rFonts w:cstheme="minorHAnsi"/>
          <w:spacing w:val="2"/>
          <w:sz w:val="20"/>
          <w:szCs w:val="20"/>
        </w:rPr>
        <w:t xml:space="preserve">: </w:t>
      </w:r>
      <w:r w:rsidR="00BB3090">
        <w:rPr>
          <w:rFonts w:cstheme="minorHAnsi"/>
          <w:spacing w:val="2"/>
          <w:sz w:val="20"/>
          <w:szCs w:val="20"/>
        </w:rPr>
        <w:t>80.9</w:t>
      </w:r>
      <w:r w:rsidR="00C13CE2">
        <w:rPr>
          <w:rFonts w:cstheme="minorHAnsi"/>
          <w:spacing w:val="2"/>
          <w:sz w:val="20"/>
          <w:szCs w:val="20"/>
        </w:rPr>
        <w:t>%</w:t>
      </w:r>
      <w:r w:rsidR="00416760" w:rsidRPr="00D36A2C">
        <w:rPr>
          <w:rFonts w:cstheme="minorHAnsi"/>
          <w:spacing w:val="2"/>
          <w:sz w:val="20"/>
          <w:szCs w:val="20"/>
        </w:rPr>
        <w:t xml:space="preserve"> compared to </w:t>
      </w:r>
      <w:r w:rsidR="00C13CE2">
        <w:rPr>
          <w:rFonts w:cstheme="minorHAnsi"/>
          <w:spacing w:val="2"/>
          <w:sz w:val="20"/>
          <w:szCs w:val="20"/>
        </w:rPr>
        <w:t>3</w:t>
      </w:r>
      <w:r w:rsidR="00BB3090">
        <w:rPr>
          <w:rFonts w:cstheme="minorHAnsi"/>
          <w:spacing w:val="2"/>
          <w:sz w:val="20"/>
          <w:szCs w:val="20"/>
        </w:rPr>
        <w:t>8.5</w:t>
      </w:r>
      <w:r w:rsidR="00C13CE2">
        <w:rPr>
          <w:rFonts w:cstheme="minorHAnsi"/>
          <w:spacing w:val="2"/>
          <w:sz w:val="20"/>
          <w:szCs w:val="20"/>
        </w:rPr>
        <w:t>%</w:t>
      </w:r>
      <w:r w:rsidR="00416760" w:rsidRPr="00D36A2C">
        <w:rPr>
          <w:rFonts w:cstheme="minorHAnsi"/>
          <w:spacing w:val="2"/>
          <w:sz w:val="20"/>
          <w:szCs w:val="20"/>
        </w:rPr>
        <w:t xml:space="preserve"> (Bangladesh), </w:t>
      </w:r>
      <w:r w:rsidR="00C13CE2">
        <w:rPr>
          <w:rFonts w:cstheme="minorHAnsi"/>
          <w:spacing w:val="2"/>
          <w:sz w:val="20"/>
          <w:szCs w:val="20"/>
        </w:rPr>
        <w:t>98</w:t>
      </w:r>
      <w:r w:rsidR="00BB3090">
        <w:rPr>
          <w:rFonts w:cstheme="minorHAnsi"/>
          <w:spacing w:val="2"/>
          <w:sz w:val="20"/>
          <w:szCs w:val="20"/>
        </w:rPr>
        <w:t>.1</w:t>
      </w:r>
      <w:r w:rsidR="00C13CE2">
        <w:rPr>
          <w:rFonts w:cstheme="minorHAnsi"/>
          <w:spacing w:val="2"/>
          <w:sz w:val="20"/>
          <w:szCs w:val="20"/>
        </w:rPr>
        <w:t>%</w:t>
      </w:r>
      <w:r w:rsidR="00416760" w:rsidRPr="00D36A2C">
        <w:rPr>
          <w:rFonts w:cstheme="minorHAnsi"/>
          <w:spacing w:val="2"/>
          <w:sz w:val="20"/>
          <w:szCs w:val="20"/>
        </w:rPr>
        <w:t xml:space="preserve"> compared to </w:t>
      </w:r>
      <w:r w:rsidR="00BB3090">
        <w:rPr>
          <w:rFonts w:cstheme="minorHAnsi"/>
          <w:spacing w:val="2"/>
          <w:sz w:val="20"/>
          <w:szCs w:val="20"/>
        </w:rPr>
        <w:t>62.7</w:t>
      </w:r>
      <w:r w:rsidR="00C13CE2">
        <w:rPr>
          <w:rFonts w:cstheme="minorHAnsi"/>
          <w:spacing w:val="2"/>
          <w:sz w:val="20"/>
          <w:szCs w:val="20"/>
        </w:rPr>
        <w:t>%</w:t>
      </w:r>
      <w:r w:rsidR="00416760" w:rsidRPr="00D36A2C">
        <w:rPr>
          <w:rFonts w:cstheme="minorHAnsi"/>
          <w:spacing w:val="2"/>
          <w:sz w:val="20"/>
          <w:szCs w:val="20"/>
        </w:rPr>
        <w:t xml:space="preserve"> (Cuba).</w:t>
      </w:r>
      <w:r w:rsidR="00D752A4">
        <w:rPr>
          <w:rFonts w:cstheme="minorHAnsi"/>
          <w:spacing w:val="2"/>
          <w:sz w:val="20"/>
          <w:szCs w:val="20"/>
        </w:rPr>
        <w:t xml:space="preserve"> This is supported by the other studies (but blunted by early-age administration).</w:t>
      </w:r>
    </w:p>
    <w:p w:rsidR="00416760" w:rsidRPr="00D36A2C" w:rsidRDefault="00416760" w:rsidP="00D7532F">
      <w:pPr>
        <w:spacing w:after="0" w:line="360" w:lineRule="auto"/>
        <w:rPr>
          <w:rFonts w:cstheme="minorHAnsi"/>
          <w:spacing w:val="2"/>
          <w:sz w:val="20"/>
          <w:szCs w:val="20"/>
        </w:rPr>
      </w:pPr>
    </w:p>
    <w:p w:rsidR="0064658B" w:rsidRPr="00D36A2C" w:rsidRDefault="0064658B" w:rsidP="0023366D">
      <w:pPr>
        <w:snapToGrid w:val="0"/>
        <w:spacing w:line="360" w:lineRule="auto"/>
        <w:rPr>
          <w:rFonts w:eastAsia="MS Mincho" w:cstheme="minorHAnsi"/>
          <w:bCs/>
          <w:i/>
          <w:iCs/>
          <w:sz w:val="20"/>
          <w:szCs w:val="20"/>
          <w:lang w:eastAsia="ja-JP"/>
        </w:rPr>
      </w:pPr>
      <w:r w:rsidRPr="00D36A2C">
        <w:rPr>
          <w:rFonts w:eastAsia="MS Mincho" w:cstheme="minorHAnsi"/>
          <w:bCs/>
          <w:i/>
          <w:iCs/>
          <w:sz w:val="20"/>
          <w:szCs w:val="20"/>
          <w:lang w:eastAsia="ja-JP"/>
        </w:rPr>
        <w:t>Median antibody titers</w:t>
      </w:r>
    </w:p>
    <w:p w:rsidR="00831944" w:rsidRDefault="00E5350E" w:rsidP="006C5EC7">
      <w:pPr>
        <w:snapToGrid w:val="0"/>
        <w:spacing w:line="360" w:lineRule="auto"/>
        <w:rPr>
          <w:rFonts w:eastAsia="MS Mincho" w:cstheme="minorHAnsi"/>
          <w:bCs/>
          <w:sz w:val="20"/>
          <w:szCs w:val="20"/>
          <w:lang w:eastAsia="ja-JP"/>
        </w:rPr>
      </w:pPr>
      <w:r w:rsidRPr="00D36A2C">
        <w:rPr>
          <w:rFonts w:eastAsia="MS Mincho" w:cstheme="minorHAnsi"/>
          <w:bCs/>
          <w:sz w:val="20"/>
          <w:szCs w:val="20"/>
          <w:lang w:eastAsia="ja-JP"/>
        </w:rPr>
        <w:t xml:space="preserve">In </w:t>
      </w:r>
      <w:r w:rsidR="00D36A2C">
        <w:rPr>
          <w:rFonts w:eastAsia="MS Mincho" w:cstheme="minorHAnsi"/>
          <w:bCs/>
          <w:sz w:val="20"/>
          <w:szCs w:val="20"/>
          <w:lang w:eastAsia="ja-JP"/>
        </w:rPr>
        <w:t>the Cuba</w:t>
      </w:r>
      <w:r w:rsidR="00F369ED">
        <w:rPr>
          <w:rFonts w:eastAsia="MS Mincho" w:cstheme="minorHAnsi"/>
          <w:bCs/>
          <w:sz w:val="20"/>
          <w:szCs w:val="20"/>
          <w:vertAlign w:val="superscript"/>
          <w:lang w:eastAsia="ja-JP"/>
        </w:rPr>
        <w:t>4</w:t>
      </w:r>
      <w:r w:rsidR="00D36A2C">
        <w:rPr>
          <w:rFonts w:eastAsia="MS Mincho" w:cstheme="minorHAnsi"/>
          <w:bCs/>
          <w:sz w:val="20"/>
          <w:szCs w:val="20"/>
          <w:lang w:eastAsia="ja-JP"/>
        </w:rPr>
        <w:t xml:space="preserve"> </w:t>
      </w:r>
      <w:r w:rsidR="00831944">
        <w:rPr>
          <w:rFonts w:eastAsia="MS Mincho" w:cstheme="minorHAnsi"/>
          <w:bCs/>
          <w:sz w:val="20"/>
          <w:szCs w:val="20"/>
          <w:lang w:eastAsia="ja-JP"/>
        </w:rPr>
        <w:t xml:space="preserve">study reciprocal medium antibody levels for one and two vaccine doses were 9 and 898 for the ID fIPV arm, compared to 28 and </w:t>
      </w:r>
      <w:r w:rsidR="00831944" w:rsidRPr="002F5FCF">
        <w:rPr>
          <w:sz w:val="20"/>
          <w:szCs w:val="20"/>
        </w:rPr>
        <w:t>≥</w:t>
      </w:r>
      <w:r w:rsidR="00831944">
        <w:rPr>
          <w:sz w:val="20"/>
          <w:szCs w:val="20"/>
        </w:rPr>
        <w:t>1448 for the full dose IM arm.</w:t>
      </w:r>
      <w:r w:rsidR="006C5EC7">
        <w:rPr>
          <w:rStyle w:val="FootnoteReference"/>
        </w:rPr>
        <w:t xml:space="preserve"> </w:t>
      </w:r>
      <w:r w:rsidR="00831944">
        <w:rPr>
          <w:rFonts w:eastAsia="MS Mincho" w:cstheme="minorHAnsi"/>
          <w:bCs/>
          <w:sz w:val="20"/>
          <w:szCs w:val="20"/>
          <w:lang w:eastAsia="ja-JP"/>
        </w:rPr>
        <w:t xml:space="preserve">Although overall medium antibody levels were lower for fIPV dosing, levels above 8 are considered protective. </w:t>
      </w:r>
      <w:r w:rsidR="00831944" w:rsidRPr="00D36A2C">
        <w:rPr>
          <w:rFonts w:eastAsia="MS Mincho" w:cstheme="minorHAnsi"/>
          <w:bCs/>
          <w:sz w:val="20"/>
          <w:szCs w:val="20"/>
          <w:lang w:eastAsia="ja-JP"/>
        </w:rPr>
        <w:t xml:space="preserve"> </w:t>
      </w:r>
    </w:p>
    <w:p w:rsidR="00831944" w:rsidRPr="00831944" w:rsidRDefault="00831944" w:rsidP="0052194A">
      <w:pPr>
        <w:snapToGrid w:val="0"/>
        <w:spacing w:line="360" w:lineRule="auto"/>
        <w:rPr>
          <w:rFonts w:eastAsia="MS Mincho" w:cstheme="minorHAnsi"/>
          <w:bCs/>
          <w:sz w:val="20"/>
          <w:szCs w:val="20"/>
          <w:lang w:eastAsia="ja-JP"/>
        </w:rPr>
      </w:pPr>
      <w:r>
        <w:rPr>
          <w:rFonts w:eastAsia="MS Mincho" w:cstheme="minorHAnsi"/>
          <w:bCs/>
          <w:sz w:val="20"/>
          <w:szCs w:val="20"/>
          <w:lang w:eastAsia="ja-JP"/>
        </w:rPr>
        <w:t>T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>wo fIPV doses induced su</w:t>
      </w:r>
      <w:r w:rsidR="0071773E">
        <w:rPr>
          <w:rFonts w:eastAsia="MS Mincho" w:cstheme="minorHAnsi"/>
          <w:bCs/>
          <w:sz w:val="20"/>
          <w:szCs w:val="20"/>
          <w:lang w:eastAsia="ja-JP"/>
        </w:rPr>
        <w:t>bstantially higher antibody tit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>e</w:t>
      </w:r>
      <w:r w:rsidR="0071773E">
        <w:rPr>
          <w:rFonts w:eastAsia="MS Mincho" w:cstheme="minorHAnsi"/>
          <w:bCs/>
          <w:sz w:val="20"/>
          <w:szCs w:val="20"/>
          <w:lang w:eastAsia="ja-JP"/>
        </w:rPr>
        <w:t>r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 xml:space="preserve">s against type 2 </w:t>
      </w:r>
      <w:r w:rsidR="00D36A2C">
        <w:rPr>
          <w:rFonts w:eastAsia="MS Mincho" w:cstheme="minorHAnsi"/>
          <w:bCs/>
          <w:sz w:val="20"/>
          <w:szCs w:val="20"/>
          <w:lang w:eastAsia="ja-JP"/>
        </w:rPr>
        <w:t>compared to</w:t>
      </w:r>
      <w:r w:rsidR="00D36A2C" w:rsidRPr="00D36A2C">
        <w:rPr>
          <w:rFonts w:eastAsia="MS Mincho" w:cstheme="minorHAnsi"/>
          <w:bCs/>
          <w:sz w:val="20"/>
          <w:szCs w:val="20"/>
          <w:lang w:eastAsia="ja-JP"/>
        </w:rPr>
        <w:t xml:space="preserve"> 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 xml:space="preserve">one full </w:t>
      </w:r>
      <w:r w:rsidR="00CC69EE">
        <w:rPr>
          <w:rFonts w:eastAsia="MS Mincho" w:cstheme="minorHAnsi"/>
          <w:bCs/>
          <w:sz w:val="20"/>
          <w:szCs w:val="20"/>
          <w:lang w:eastAsia="ja-JP"/>
        </w:rPr>
        <w:t xml:space="preserve">IM 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>dos</w:t>
      </w:r>
      <w:r>
        <w:rPr>
          <w:rFonts w:eastAsia="MS Mincho" w:cstheme="minorHAnsi"/>
          <w:bCs/>
          <w:sz w:val="20"/>
          <w:szCs w:val="20"/>
          <w:lang w:eastAsia="ja-JP"/>
        </w:rPr>
        <w:t>e in</w:t>
      </w:r>
      <w:r w:rsidR="006C5EC7">
        <w:rPr>
          <w:rFonts w:eastAsia="MS Mincho" w:cstheme="minorHAnsi"/>
          <w:bCs/>
          <w:sz w:val="20"/>
          <w:szCs w:val="20"/>
          <w:lang w:eastAsia="ja-JP"/>
        </w:rPr>
        <w:t xml:space="preserve"> both</w:t>
      </w:r>
      <w:r>
        <w:rPr>
          <w:rFonts w:eastAsia="MS Mincho" w:cstheme="minorHAnsi"/>
          <w:bCs/>
          <w:sz w:val="20"/>
          <w:szCs w:val="20"/>
          <w:lang w:eastAsia="ja-JP"/>
        </w:rPr>
        <w:t xml:space="preserve"> Cuba</w:t>
      </w:r>
      <w:r w:rsidR="00F369ED">
        <w:rPr>
          <w:rFonts w:eastAsia="MS Mincho" w:cstheme="minorHAnsi"/>
          <w:bCs/>
          <w:sz w:val="20"/>
          <w:szCs w:val="20"/>
          <w:vertAlign w:val="superscript"/>
          <w:lang w:eastAsia="ja-JP"/>
        </w:rPr>
        <w:t>4</w:t>
      </w:r>
      <w:r>
        <w:rPr>
          <w:rFonts w:eastAsia="MS Mincho" w:cstheme="minorHAnsi"/>
          <w:bCs/>
          <w:sz w:val="20"/>
          <w:szCs w:val="20"/>
          <w:lang w:eastAsia="ja-JP"/>
        </w:rPr>
        <w:t xml:space="preserve"> and Bangladesh</w:t>
      </w:r>
      <w:r w:rsidR="00F369ED">
        <w:rPr>
          <w:rFonts w:eastAsia="MS Mincho" w:cstheme="minorHAnsi"/>
          <w:bCs/>
          <w:sz w:val="20"/>
          <w:szCs w:val="20"/>
          <w:vertAlign w:val="superscript"/>
          <w:lang w:eastAsia="ja-JP"/>
        </w:rPr>
        <w:t>5</w:t>
      </w:r>
      <w:r w:rsidR="0052194A">
        <w:rPr>
          <w:rFonts w:eastAsia="MS Mincho" w:cstheme="minorHAnsi"/>
          <w:bCs/>
          <w:sz w:val="20"/>
          <w:szCs w:val="20"/>
          <w:lang w:eastAsia="ja-JP"/>
        </w:rPr>
        <w:t xml:space="preserve"> studies</w:t>
      </w:r>
      <w:r>
        <w:rPr>
          <w:rFonts w:eastAsia="MS Mincho" w:cstheme="minorHAnsi"/>
          <w:bCs/>
          <w:sz w:val="20"/>
          <w:szCs w:val="20"/>
          <w:lang w:eastAsia="ja-JP"/>
        </w:rPr>
        <w:t xml:space="preserve">: 898 compared to 28 (32-fold increase) for Cuba and 445 compared to 28 (16-fold higher) for Bangladesh. </w:t>
      </w:r>
      <w:r w:rsidR="00D36A2C">
        <w:rPr>
          <w:rFonts w:eastAsia="MS Mincho" w:cstheme="minorHAnsi"/>
          <w:bCs/>
          <w:sz w:val="20"/>
          <w:szCs w:val="20"/>
          <w:lang w:eastAsia="ja-JP"/>
        </w:rPr>
        <w:t>Furthermore</w:t>
      </w:r>
      <w:r w:rsidR="006C5EC7">
        <w:rPr>
          <w:rFonts w:eastAsia="MS Mincho" w:cstheme="minorHAnsi"/>
          <w:bCs/>
          <w:sz w:val="20"/>
          <w:szCs w:val="20"/>
          <w:lang w:eastAsia="ja-JP"/>
        </w:rPr>
        <w:t>,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 xml:space="preserve"> two fractional doses </w:t>
      </w:r>
      <w:r w:rsidR="00D36A2C">
        <w:rPr>
          <w:rFonts w:eastAsia="MS Mincho" w:cstheme="minorHAnsi"/>
          <w:bCs/>
          <w:sz w:val="20"/>
          <w:szCs w:val="20"/>
          <w:lang w:eastAsia="ja-JP"/>
        </w:rPr>
        <w:t xml:space="preserve">administered 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>at 6 and 14 weeks in Bangladesh induced hi</w:t>
      </w:r>
      <w:r w:rsidR="0071773E">
        <w:rPr>
          <w:rFonts w:eastAsia="MS Mincho" w:cstheme="minorHAnsi"/>
          <w:bCs/>
          <w:sz w:val="20"/>
          <w:szCs w:val="20"/>
          <w:lang w:eastAsia="ja-JP"/>
        </w:rPr>
        <w:t>gher antibody tit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>e</w:t>
      </w:r>
      <w:r w:rsidR="0071773E">
        <w:rPr>
          <w:rFonts w:eastAsia="MS Mincho" w:cstheme="minorHAnsi"/>
          <w:bCs/>
          <w:sz w:val="20"/>
          <w:szCs w:val="20"/>
          <w:lang w:eastAsia="ja-JP"/>
        </w:rPr>
        <w:t>r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>s than one full dose at 14 weeks in the follow-on study</w:t>
      </w:r>
      <w:r w:rsidR="00F369ED">
        <w:rPr>
          <w:rFonts w:eastAsia="MS Mincho" w:cstheme="minorHAnsi"/>
          <w:bCs/>
          <w:sz w:val="20"/>
          <w:szCs w:val="20"/>
          <w:vertAlign w:val="superscript"/>
          <w:lang w:eastAsia="ja-JP"/>
        </w:rPr>
        <w:t>6</w:t>
      </w:r>
      <w:r>
        <w:rPr>
          <w:rFonts w:eastAsia="MS Mincho" w:cstheme="minorHAnsi"/>
          <w:bCs/>
          <w:sz w:val="20"/>
          <w:szCs w:val="20"/>
          <w:lang w:eastAsia="ja-JP"/>
        </w:rPr>
        <w:t>: 445 compared to 45 (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>10-fold</w:t>
      </w:r>
      <w:r w:rsidR="006C5EC7">
        <w:rPr>
          <w:rFonts w:eastAsia="MS Mincho" w:cstheme="minorHAnsi"/>
          <w:bCs/>
          <w:sz w:val="20"/>
          <w:szCs w:val="20"/>
          <w:lang w:eastAsia="ja-JP"/>
        </w:rPr>
        <w:t xml:space="preserve"> increase)</w:t>
      </w:r>
      <w:r w:rsidR="00E5350E" w:rsidRPr="00D36A2C">
        <w:rPr>
          <w:rFonts w:eastAsia="MS Mincho" w:cstheme="minorHAnsi"/>
          <w:bCs/>
          <w:sz w:val="20"/>
          <w:szCs w:val="20"/>
          <w:lang w:eastAsia="ja-JP"/>
        </w:rPr>
        <w:t>.</w:t>
      </w:r>
      <w:r w:rsidR="00A25C35" w:rsidRPr="00D36A2C">
        <w:rPr>
          <w:rFonts w:eastAsia="MS Mincho" w:cstheme="minorHAnsi"/>
          <w:bCs/>
          <w:sz w:val="20"/>
          <w:szCs w:val="20"/>
          <w:lang w:eastAsia="ja-JP"/>
        </w:rPr>
        <w:t xml:space="preserve"> </w:t>
      </w:r>
      <w:r w:rsidR="00D752A4">
        <w:rPr>
          <w:rFonts w:eastAsia="MS Mincho" w:cstheme="minorHAnsi"/>
          <w:bCs/>
          <w:sz w:val="20"/>
          <w:szCs w:val="20"/>
          <w:lang w:eastAsia="ja-JP"/>
        </w:rPr>
        <w:t>Likewise, in all studies the median antibody titres after 2 fractional doses were higher than 1 full dose.</w:t>
      </w:r>
    </w:p>
    <w:p w:rsidR="0064658B" w:rsidRPr="00D36A2C" w:rsidRDefault="0064658B" w:rsidP="001A4CC8">
      <w:pPr>
        <w:snapToGrid w:val="0"/>
        <w:spacing w:line="360" w:lineRule="auto"/>
        <w:rPr>
          <w:rFonts w:eastAsia="MS Mincho" w:cstheme="minorHAnsi"/>
          <w:bCs/>
          <w:i/>
          <w:iCs/>
          <w:sz w:val="20"/>
          <w:szCs w:val="20"/>
          <w:lang w:eastAsia="ja-JP"/>
        </w:rPr>
      </w:pPr>
      <w:r w:rsidRPr="00D36A2C">
        <w:rPr>
          <w:rFonts w:eastAsia="MS Mincho" w:cstheme="minorHAnsi"/>
          <w:bCs/>
          <w:i/>
          <w:iCs/>
          <w:sz w:val="20"/>
          <w:szCs w:val="20"/>
          <w:lang w:eastAsia="ja-JP"/>
        </w:rPr>
        <w:t>Mucosal immunity</w:t>
      </w:r>
    </w:p>
    <w:p w:rsidR="00124FA1" w:rsidRDefault="001A4CC8" w:rsidP="004A5785">
      <w:pPr>
        <w:snapToGrid w:val="0"/>
        <w:spacing w:line="360" w:lineRule="auto"/>
        <w:rPr>
          <w:rFonts w:cstheme="minorHAnsi"/>
          <w:spacing w:val="2"/>
          <w:sz w:val="20"/>
          <w:szCs w:val="20"/>
        </w:rPr>
      </w:pPr>
      <w:r w:rsidRPr="00D36A2C">
        <w:rPr>
          <w:rFonts w:eastAsia="MS Mincho" w:cstheme="minorHAnsi"/>
          <w:bCs/>
          <w:sz w:val="20"/>
          <w:szCs w:val="20"/>
          <w:lang w:eastAsia="ja-JP"/>
        </w:rPr>
        <w:t>ID fIPV in primary series at 4, 8 months induced comparable muco</w:t>
      </w:r>
      <w:r w:rsidR="00CF28F1">
        <w:rPr>
          <w:rFonts w:eastAsia="MS Mincho" w:cstheme="minorHAnsi"/>
          <w:bCs/>
          <w:sz w:val="20"/>
          <w:szCs w:val="20"/>
          <w:lang w:eastAsia="ja-JP"/>
        </w:rPr>
        <w:t>sal immunity to IM</w:t>
      </w:r>
      <w:r w:rsidRPr="00D36A2C">
        <w:rPr>
          <w:rFonts w:eastAsia="MS Mincho" w:cstheme="minorHAnsi"/>
          <w:bCs/>
          <w:sz w:val="20"/>
          <w:szCs w:val="20"/>
          <w:lang w:eastAsia="ja-JP"/>
        </w:rPr>
        <w:t xml:space="preserve"> in a follow up study in Cuba</w:t>
      </w:r>
      <w:r w:rsidR="004A5785">
        <w:rPr>
          <w:rStyle w:val="FootnoteReference"/>
          <w:rFonts w:eastAsia="MS Mincho" w:cstheme="minorHAnsi"/>
          <w:bCs/>
          <w:sz w:val="20"/>
          <w:szCs w:val="20"/>
          <w:lang w:eastAsia="ja-JP"/>
        </w:rPr>
        <w:footnoteReference w:id="7"/>
      </w:r>
      <w:r w:rsidR="004A5785">
        <w:rPr>
          <w:rFonts w:eastAsia="MS Mincho" w:cstheme="minorHAnsi"/>
          <w:bCs/>
          <w:sz w:val="20"/>
          <w:szCs w:val="20"/>
          <w:lang w:eastAsia="ja-JP"/>
        </w:rPr>
        <w:t>.</w:t>
      </w:r>
      <w:r w:rsidR="00CF28F1">
        <w:rPr>
          <w:rFonts w:eastAsia="MS Mincho" w:cstheme="minorHAnsi"/>
          <w:bCs/>
          <w:sz w:val="20"/>
          <w:szCs w:val="20"/>
          <w:lang w:eastAsia="ja-JP"/>
        </w:rPr>
        <w:t xml:space="preserve"> </w:t>
      </w:r>
      <w:r w:rsidR="0064658B" w:rsidRPr="00D36A2C" w:rsidDel="0064658B">
        <w:rPr>
          <w:rFonts w:cstheme="minorHAnsi"/>
          <w:spacing w:val="2"/>
          <w:sz w:val="20"/>
          <w:szCs w:val="20"/>
        </w:rPr>
        <w:t xml:space="preserve"> </w:t>
      </w:r>
    </w:p>
    <w:p w:rsidR="00124FA1" w:rsidRPr="00124FA1" w:rsidRDefault="00FF59DF" w:rsidP="00416760">
      <w:pPr>
        <w:snapToGrid w:val="0"/>
        <w:spacing w:line="360" w:lineRule="auto"/>
        <w:rPr>
          <w:sz w:val="20"/>
          <w:szCs w:val="20"/>
          <w:u w:val="single"/>
        </w:rPr>
      </w:pPr>
      <w:r w:rsidRPr="00124FA1">
        <w:rPr>
          <w:sz w:val="20"/>
          <w:szCs w:val="20"/>
          <w:u w:val="single"/>
        </w:rPr>
        <w:t xml:space="preserve">Boosting studies: </w:t>
      </w:r>
    </w:p>
    <w:p w:rsidR="00A01A53" w:rsidRPr="00D36A2C" w:rsidRDefault="00C52E6E" w:rsidP="004A777F">
      <w:pPr>
        <w:snapToGrid w:val="0"/>
        <w:spacing w:line="360" w:lineRule="auto"/>
        <w:rPr>
          <w:sz w:val="20"/>
          <w:szCs w:val="20"/>
        </w:rPr>
      </w:pPr>
      <w:r w:rsidRPr="00D36A2C">
        <w:rPr>
          <w:sz w:val="20"/>
          <w:szCs w:val="20"/>
        </w:rPr>
        <w:t xml:space="preserve">In a boosting </w:t>
      </w:r>
      <w:r w:rsidR="003C3993" w:rsidRPr="00D36A2C">
        <w:rPr>
          <w:sz w:val="20"/>
          <w:szCs w:val="20"/>
        </w:rPr>
        <w:t>stud</w:t>
      </w:r>
      <w:r w:rsidRPr="00D36A2C">
        <w:rPr>
          <w:sz w:val="20"/>
          <w:szCs w:val="20"/>
        </w:rPr>
        <w:t>y in Cuba</w:t>
      </w:r>
      <w:r w:rsidR="003D6D76" w:rsidRPr="00D36A2C">
        <w:rPr>
          <w:rStyle w:val="FootnoteReference"/>
          <w:sz w:val="20"/>
          <w:szCs w:val="20"/>
        </w:rPr>
        <w:footnoteReference w:id="8"/>
      </w:r>
      <w:r w:rsidR="003C3993" w:rsidRPr="00D36A2C">
        <w:rPr>
          <w:sz w:val="20"/>
          <w:szCs w:val="20"/>
        </w:rPr>
        <w:t>,</w:t>
      </w:r>
      <w:r w:rsidR="00672DBF" w:rsidRPr="00D36A2C">
        <w:rPr>
          <w:sz w:val="20"/>
          <w:szCs w:val="20"/>
        </w:rPr>
        <w:t xml:space="preserve"> </w:t>
      </w:r>
      <w:r w:rsidR="003C3993" w:rsidRPr="00D36A2C">
        <w:rPr>
          <w:sz w:val="20"/>
          <w:szCs w:val="20"/>
        </w:rPr>
        <w:t xml:space="preserve">one dose of </w:t>
      </w:r>
      <w:r w:rsidR="00736F41" w:rsidRPr="00D36A2C">
        <w:rPr>
          <w:sz w:val="20"/>
          <w:szCs w:val="20"/>
        </w:rPr>
        <w:t>ID fIPV demonstrated non-inferiority to elicit boosting immune response in adults who had not been vaccinated for 10+ years compared to full dose IM IPV</w:t>
      </w:r>
      <w:r w:rsidR="00FF59DF" w:rsidRPr="00D36A2C">
        <w:rPr>
          <w:sz w:val="20"/>
          <w:szCs w:val="20"/>
        </w:rPr>
        <w:t xml:space="preserve"> (</w:t>
      </w:r>
      <w:r w:rsidR="004A777F">
        <w:rPr>
          <w:sz w:val="20"/>
          <w:szCs w:val="20"/>
        </w:rPr>
        <w:t>conducted in collaboration with Bilthoven Biologicals</w:t>
      </w:r>
      <w:r w:rsidR="001A4CC8" w:rsidRPr="00D36A2C">
        <w:rPr>
          <w:sz w:val="20"/>
          <w:szCs w:val="20"/>
        </w:rPr>
        <w:t xml:space="preserve"> and Dutch</w:t>
      </w:r>
      <w:r w:rsidR="004A777F">
        <w:rPr>
          <w:sz w:val="20"/>
          <w:szCs w:val="20"/>
        </w:rPr>
        <w:t xml:space="preserve"> National Regulatory Authority</w:t>
      </w:r>
      <w:r w:rsidR="00FF59DF" w:rsidRPr="00D36A2C">
        <w:rPr>
          <w:sz w:val="20"/>
          <w:szCs w:val="20"/>
        </w:rPr>
        <w:t>)</w:t>
      </w:r>
      <w:r w:rsidR="00736F41" w:rsidRPr="00D36A2C">
        <w:rPr>
          <w:sz w:val="20"/>
          <w:szCs w:val="20"/>
        </w:rPr>
        <w:t>.</w:t>
      </w:r>
      <w:r w:rsidR="00B02119" w:rsidRPr="00D36A2C">
        <w:rPr>
          <w:sz w:val="20"/>
          <w:szCs w:val="20"/>
        </w:rPr>
        <w:t xml:space="preserve"> </w:t>
      </w:r>
    </w:p>
    <w:p w:rsidR="00416760" w:rsidRPr="00124FA1" w:rsidRDefault="00124FA1" w:rsidP="00124FA1">
      <w:pPr>
        <w:snapToGrid w:val="0"/>
        <w:spacing w:line="360" w:lineRule="auto"/>
        <w:rPr>
          <w:b/>
          <w:bCs/>
          <w:color w:val="FF0000"/>
          <w:sz w:val="20"/>
          <w:szCs w:val="20"/>
        </w:rPr>
      </w:pPr>
      <w:r w:rsidRPr="00124FA1">
        <w:rPr>
          <w:b/>
          <w:bCs/>
          <w:color w:val="FF0000"/>
          <w:sz w:val="20"/>
          <w:szCs w:val="20"/>
        </w:rPr>
        <w:t>These results indicate that o</w:t>
      </w:r>
      <w:r w:rsidR="00416760" w:rsidRPr="00124FA1">
        <w:rPr>
          <w:b/>
          <w:bCs/>
          <w:color w:val="FF0000"/>
          <w:sz w:val="20"/>
          <w:szCs w:val="20"/>
        </w:rPr>
        <w:t>ne dose of ID fIPV can be used to boost immune response in outbreak response</w:t>
      </w:r>
      <w:r w:rsidRPr="00124FA1">
        <w:rPr>
          <w:b/>
          <w:bCs/>
          <w:color w:val="FF0000"/>
          <w:sz w:val="20"/>
          <w:szCs w:val="20"/>
        </w:rPr>
        <w:t xml:space="preserve"> (OBR)</w:t>
      </w:r>
      <w:r w:rsidR="00416760" w:rsidRPr="00124FA1">
        <w:rPr>
          <w:b/>
          <w:bCs/>
          <w:color w:val="FF0000"/>
          <w:sz w:val="20"/>
          <w:szCs w:val="20"/>
        </w:rPr>
        <w:t xml:space="preserve">.  </w:t>
      </w:r>
    </w:p>
    <w:p w:rsidR="00736F41" w:rsidRPr="00D36A2C" w:rsidRDefault="00D75490" w:rsidP="00407BEF">
      <w:pPr>
        <w:snapToGrid w:val="0"/>
        <w:spacing w:line="360" w:lineRule="auto"/>
        <w:rPr>
          <w:rFonts w:cstheme="minorHAnsi"/>
          <w:b/>
          <w:bCs/>
          <w:spacing w:val="2"/>
          <w:sz w:val="20"/>
          <w:szCs w:val="20"/>
        </w:rPr>
      </w:pPr>
      <w:r>
        <w:rPr>
          <w:rFonts w:cstheme="minorHAnsi"/>
          <w:b/>
          <w:bCs/>
          <w:spacing w:val="2"/>
          <w:sz w:val="20"/>
          <w:szCs w:val="20"/>
        </w:rPr>
        <w:t>POLICY RECOMMENDATIONS</w:t>
      </w:r>
      <w:bookmarkStart w:id="0" w:name="_GoBack"/>
      <w:bookmarkEnd w:id="0"/>
    </w:p>
    <w:p w:rsidR="00124FA1" w:rsidRDefault="00320B6F" w:rsidP="00124FA1">
      <w:pPr>
        <w:snapToGrid w:val="0"/>
        <w:spacing w:after="0" w:line="360" w:lineRule="auto"/>
        <w:rPr>
          <w:sz w:val="20"/>
          <w:szCs w:val="20"/>
        </w:rPr>
      </w:pPr>
      <w:r w:rsidRPr="00D36A2C">
        <w:rPr>
          <w:sz w:val="20"/>
          <w:szCs w:val="20"/>
        </w:rPr>
        <w:t xml:space="preserve">Policy recommendations for </w:t>
      </w:r>
      <w:r w:rsidR="00BF4DD8" w:rsidRPr="00D36A2C">
        <w:rPr>
          <w:sz w:val="20"/>
          <w:szCs w:val="20"/>
        </w:rPr>
        <w:t xml:space="preserve">ID </w:t>
      </w:r>
      <w:r w:rsidRPr="00D36A2C">
        <w:rPr>
          <w:sz w:val="20"/>
          <w:szCs w:val="20"/>
        </w:rPr>
        <w:t xml:space="preserve">fIPV have </w:t>
      </w:r>
      <w:r w:rsidR="00736F41" w:rsidRPr="00D36A2C">
        <w:rPr>
          <w:sz w:val="20"/>
          <w:szCs w:val="20"/>
        </w:rPr>
        <w:t>evolved</w:t>
      </w:r>
      <w:r w:rsidRPr="00D36A2C">
        <w:rPr>
          <w:sz w:val="20"/>
          <w:szCs w:val="20"/>
        </w:rPr>
        <w:t xml:space="preserve"> </w:t>
      </w:r>
      <w:r w:rsidR="00C81632" w:rsidRPr="00D36A2C">
        <w:rPr>
          <w:sz w:val="20"/>
          <w:szCs w:val="20"/>
        </w:rPr>
        <w:t xml:space="preserve">with </w:t>
      </w:r>
      <w:r w:rsidR="00911EC8" w:rsidRPr="00D36A2C">
        <w:rPr>
          <w:sz w:val="20"/>
          <w:szCs w:val="20"/>
        </w:rPr>
        <w:t xml:space="preserve">growing scientific evidence for ID fIPV </w:t>
      </w:r>
      <w:r w:rsidR="00992B9D" w:rsidRPr="00D36A2C">
        <w:rPr>
          <w:sz w:val="20"/>
          <w:szCs w:val="20"/>
        </w:rPr>
        <w:t>dosing</w:t>
      </w:r>
      <w:r w:rsidR="0040539C">
        <w:rPr>
          <w:sz w:val="20"/>
          <w:szCs w:val="20"/>
        </w:rPr>
        <w:t>.</w:t>
      </w:r>
      <w:r w:rsidR="00124FA1">
        <w:rPr>
          <w:sz w:val="20"/>
          <w:szCs w:val="20"/>
        </w:rPr>
        <w:t xml:space="preserve"> This</w:t>
      </w:r>
      <w:r w:rsidR="00CC69EE">
        <w:rPr>
          <w:sz w:val="20"/>
          <w:szCs w:val="20"/>
        </w:rPr>
        <w:t xml:space="preserve"> </w:t>
      </w:r>
      <w:r w:rsidR="00911EC8" w:rsidRPr="00D36A2C">
        <w:rPr>
          <w:sz w:val="20"/>
          <w:szCs w:val="20"/>
        </w:rPr>
        <w:t xml:space="preserve">has become </w:t>
      </w:r>
      <w:r w:rsidR="00124FA1">
        <w:rPr>
          <w:sz w:val="20"/>
          <w:szCs w:val="20"/>
        </w:rPr>
        <w:t xml:space="preserve">increasingly </w:t>
      </w:r>
      <w:r w:rsidR="00911EC8" w:rsidRPr="00D36A2C">
        <w:rPr>
          <w:sz w:val="20"/>
          <w:szCs w:val="20"/>
        </w:rPr>
        <w:t xml:space="preserve">significant given </w:t>
      </w:r>
      <w:r w:rsidR="00C81632" w:rsidRPr="00D36A2C">
        <w:rPr>
          <w:sz w:val="20"/>
          <w:szCs w:val="20"/>
        </w:rPr>
        <w:t>the global shortage of IPV moving towards cessation of OPV type 2</w:t>
      </w:r>
      <w:r w:rsidRPr="00D36A2C">
        <w:rPr>
          <w:sz w:val="20"/>
          <w:szCs w:val="20"/>
        </w:rPr>
        <w:t xml:space="preserve">. In </w:t>
      </w:r>
      <w:r w:rsidR="00FF6D22" w:rsidRPr="00D36A2C">
        <w:rPr>
          <w:sz w:val="20"/>
          <w:szCs w:val="20"/>
        </w:rPr>
        <w:t xml:space="preserve">April </w:t>
      </w:r>
      <w:r w:rsidRPr="00D36A2C">
        <w:rPr>
          <w:sz w:val="20"/>
          <w:szCs w:val="20"/>
        </w:rPr>
        <w:t xml:space="preserve">2012, SAGE </w:t>
      </w:r>
      <w:r w:rsidR="00FF6D22" w:rsidRPr="00D36A2C">
        <w:rPr>
          <w:sz w:val="20"/>
          <w:szCs w:val="20"/>
        </w:rPr>
        <w:t xml:space="preserve">reviewed </w:t>
      </w:r>
      <w:r w:rsidR="00124FA1">
        <w:rPr>
          <w:sz w:val="20"/>
          <w:szCs w:val="20"/>
        </w:rPr>
        <w:t>all</w:t>
      </w:r>
      <w:r w:rsidR="00124FA1" w:rsidRPr="00D36A2C">
        <w:rPr>
          <w:sz w:val="20"/>
          <w:szCs w:val="20"/>
        </w:rPr>
        <w:t xml:space="preserve"> </w:t>
      </w:r>
      <w:r w:rsidR="00FF6D22" w:rsidRPr="00D36A2C">
        <w:rPr>
          <w:sz w:val="20"/>
          <w:szCs w:val="20"/>
        </w:rPr>
        <w:t>available evi</w:t>
      </w:r>
      <w:r w:rsidR="00AB6C00" w:rsidRPr="00D36A2C">
        <w:rPr>
          <w:sz w:val="20"/>
          <w:szCs w:val="20"/>
        </w:rPr>
        <w:t>d</w:t>
      </w:r>
      <w:r w:rsidR="00FF6D22" w:rsidRPr="00D36A2C">
        <w:rPr>
          <w:sz w:val="20"/>
          <w:szCs w:val="20"/>
        </w:rPr>
        <w:t xml:space="preserve">ence on fractional dose ID </w:t>
      </w:r>
      <w:r w:rsidR="00BF4DD8" w:rsidRPr="00D36A2C">
        <w:rPr>
          <w:sz w:val="20"/>
          <w:szCs w:val="20"/>
        </w:rPr>
        <w:t>f</w:t>
      </w:r>
      <w:r w:rsidR="00FF6D22" w:rsidRPr="00D36A2C">
        <w:rPr>
          <w:sz w:val="20"/>
          <w:szCs w:val="20"/>
        </w:rPr>
        <w:t xml:space="preserve">IPV and concluded that ID </w:t>
      </w:r>
      <w:r w:rsidR="00BF4DD8" w:rsidRPr="00D36A2C">
        <w:rPr>
          <w:sz w:val="20"/>
          <w:szCs w:val="20"/>
        </w:rPr>
        <w:t>f</w:t>
      </w:r>
      <w:r w:rsidR="00FF6D22" w:rsidRPr="00D36A2C">
        <w:rPr>
          <w:sz w:val="20"/>
          <w:szCs w:val="20"/>
        </w:rPr>
        <w:t xml:space="preserve">IPV approach is </w:t>
      </w:r>
      <w:r w:rsidR="00F07338" w:rsidRPr="00D36A2C">
        <w:rPr>
          <w:sz w:val="20"/>
          <w:szCs w:val="20"/>
        </w:rPr>
        <w:t>promising.</w:t>
      </w:r>
      <w:r w:rsidR="002C0807" w:rsidRPr="00D36A2C">
        <w:rPr>
          <w:rStyle w:val="FootnoteReference"/>
          <w:sz w:val="20"/>
          <w:szCs w:val="20"/>
        </w:rPr>
        <w:footnoteReference w:id="9"/>
      </w:r>
      <w:r w:rsidR="00F07338" w:rsidRPr="00D36A2C">
        <w:rPr>
          <w:sz w:val="20"/>
          <w:szCs w:val="20"/>
        </w:rPr>
        <w:t xml:space="preserve"> </w:t>
      </w:r>
    </w:p>
    <w:p w:rsidR="00124FA1" w:rsidRDefault="00F07338" w:rsidP="00124FA1">
      <w:pPr>
        <w:snapToGrid w:val="0"/>
        <w:spacing w:after="0" w:line="360" w:lineRule="auto"/>
        <w:rPr>
          <w:rFonts w:cs="Minion-Web"/>
          <w:sz w:val="20"/>
          <w:szCs w:val="20"/>
        </w:rPr>
      </w:pPr>
      <w:r w:rsidRPr="00D36A2C">
        <w:rPr>
          <w:rFonts w:cs="Minion-Web"/>
          <w:sz w:val="20"/>
          <w:szCs w:val="20"/>
        </w:rPr>
        <w:lastRenderedPageBreak/>
        <w:t>The</w:t>
      </w:r>
      <w:r w:rsidR="00C81632" w:rsidRPr="00D36A2C">
        <w:rPr>
          <w:rFonts w:cs="Minion-Web"/>
          <w:sz w:val="20"/>
          <w:szCs w:val="20"/>
        </w:rPr>
        <w:t xml:space="preserve"> </w:t>
      </w:r>
      <w:r w:rsidR="0049500A" w:rsidRPr="00D36A2C">
        <w:rPr>
          <w:rFonts w:cs="Minion-Web"/>
          <w:sz w:val="20"/>
          <w:szCs w:val="20"/>
        </w:rPr>
        <w:t xml:space="preserve">evidence for ID fIPV administration was </w:t>
      </w:r>
      <w:r w:rsidR="00124FA1">
        <w:rPr>
          <w:rFonts w:cs="Minion-Web"/>
          <w:sz w:val="20"/>
          <w:szCs w:val="20"/>
        </w:rPr>
        <w:t xml:space="preserve">further </w:t>
      </w:r>
      <w:r w:rsidR="0049500A" w:rsidRPr="00D36A2C">
        <w:rPr>
          <w:rFonts w:cs="Minion-Web"/>
          <w:sz w:val="20"/>
          <w:szCs w:val="20"/>
        </w:rPr>
        <w:t xml:space="preserve">reviewed by the </w:t>
      </w:r>
      <w:r w:rsidR="00E37C2D" w:rsidRPr="00D36A2C">
        <w:rPr>
          <w:rFonts w:cs="Minion-Web"/>
          <w:sz w:val="20"/>
          <w:szCs w:val="20"/>
        </w:rPr>
        <w:t>Strategy</w:t>
      </w:r>
      <w:r w:rsidR="00320B6F" w:rsidRPr="00D36A2C">
        <w:rPr>
          <w:rFonts w:cs="Minion-Web"/>
          <w:sz w:val="20"/>
          <w:szCs w:val="20"/>
        </w:rPr>
        <w:t xml:space="preserve"> </w:t>
      </w:r>
      <w:r w:rsidR="00C81632" w:rsidRPr="00D36A2C">
        <w:rPr>
          <w:rFonts w:cs="Minion-Web"/>
          <w:sz w:val="20"/>
          <w:szCs w:val="20"/>
        </w:rPr>
        <w:t>C</w:t>
      </w:r>
      <w:r w:rsidR="00320B6F" w:rsidRPr="00D36A2C">
        <w:rPr>
          <w:rFonts w:cs="Minion-Web"/>
          <w:sz w:val="20"/>
          <w:szCs w:val="20"/>
        </w:rPr>
        <w:t>ommittee (SC)</w:t>
      </w:r>
      <w:r w:rsidR="00C81632" w:rsidRPr="00D36A2C">
        <w:rPr>
          <w:rFonts w:cs="Minion-Web"/>
          <w:sz w:val="20"/>
          <w:szCs w:val="20"/>
        </w:rPr>
        <w:t xml:space="preserve"> </w:t>
      </w:r>
      <w:r w:rsidR="00320B6F" w:rsidRPr="00D36A2C">
        <w:rPr>
          <w:rFonts w:cs="Minion-Web"/>
          <w:sz w:val="20"/>
          <w:szCs w:val="20"/>
        </w:rPr>
        <w:t xml:space="preserve">in 2015 </w:t>
      </w:r>
      <w:r w:rsidR="00F91DD9" w:rsidRPr="00D36A2C">
        <w:rPr>
          <w:rFonts w:cs="Minion-Web"/>
          <w:sz w:val="20"/>
          <w:szCs w:val="20"/>
        </w:rPr>
        <w:t xml:space="preserve">and 2016 </w:t>
      </w:r>
      <w:r w:rsidR="00124FA1">
        <w:rPr>
          <w:rFonts w:cs="Minion-Web"/>
          <w:sz w:val="20"/>
          <w:szCs w:val="20"/>
        </w:rPr>
        <w:t>resulting in the</w:t>
      </w:r>
      <w:r w:rsidR="00124FA1" w:rsidRPr="00D36A2C">
        <w:rPr>
          <w:rFonts w:cs="Minion-Web"/>
          <w:sz w:val="20"/>
          <w:szCs w:val="20"/>
        </w:rPr>
        <w:t xml:space="preserve"> </w:t>
      </w:r>
      <w:r w:rsidR="00F91DD9" w:rsidRPr="00D36A2C">
        <w:rPr>
          <w:rFonts w:cs="Minion-Web"/>
          <w:sz w:val="20"/>
          <w:szCs w:val="20"/>
        </w:rPr>
        <w:t xml:space="preserve">endorsement </w:t>
      </w:r>
      <w:r w:rsidR="00124FA1">
        <w:rPr>
          <w:rFonts w:cs="Minion-Web"/>
          <w:sz w:val="20"/>
          <w:szCs w:val="20"/>
        </w:rPr>
        <w:t>administration of</w:t>
      </w:r>
      <w:r w:rsidR="00124FA1" w:rsidRPr="00D36A2C">
        <w:rPr>
          <w:rFonts w:cs="Minion-Web"/>
          <w:sz w:val="20"/>
          <w:szCs w:val="20"/>
        </w:rPr>
        <w:t xml:space="preserve"> </w:t>
      </w:r>
      <w:r w:rsidR="00124FA1">
        <w:rPr>
          <w:rFonts w:cs="Minion-Web"/>
          <w:sz w:val="20"/>
          <w:szCs w:val="20"/>
        </w:rPr>
        <w:t xml:space="preserve">ID fIPV in addition to mOPV2 for </w:t>
      </w:r>
      <w:r w:rsidR="00320B6F" w:rsidRPr="00D36A2C">
        <w:rPr>
          <w:rFonts w:cs="Minion-Web"/>
          <w:sz w:val="20"/>
          <w:szCs w:val="20"/>
        </w:rPr>
        <w:t>outbreak response</w:t>
      </w:r>
      <w:r w:rsidR="00FF6D22" w:rsidRPr="00D36A2C">
        <w:rPr>
          <w:rFonts w:cs="Minion-Web"/>
          <w:sz w:val="20"/>
          <w:szCs w:val="20"/>
        </w:rPr>
        <w:t xml:space="preserve"> </w:t>
      </w:r>
      <w:r w:rsidR="0049500A" w:rsidRPr="00D36A2C">
        <w:rPr>
          <w:rFonts w:cs="Minion-Web"/>
          <w:sz w:val="20"/>
          <w:szCs w:val="20"/>
        </w:rPr>
        <w:t xml:space="preserve">for </w:t>
      </w:r>
      <w:r w:rsidR="00124FA1">
        <w:rPr>
          <w:rFonts w:cs="Minion-Web"/>
          <w:sz w:val="20"/>
          <w:szCs w:val="20"/>
        </w:rPr>
        <w:t xml:space="preserve">a period of </w:t>
      </w:r>
      <w:r w:rsidR="00CC69EE">
        <w:rPr>
          <w:rFonts w:cs="Minion-Web"/>
          <w:sz w:val="20"/>
          <w:szCs w:val="20"/>
        </w:rPr>
        <w:t>12 months</w:t>
      </w:r>
      <w:r w:rsidR="0049500A" w:rsidRPr="00D36A2C">
        <w:rPr>
          <w:rFonts w:cs="Minion-Web"/>
          <w:sz w:val="20"/>
          <w:szCs w:val="20"/>
        </w:rPr>
        <w:t xml:space="preserve"> </w:t>
      </w:r>
      <w:r w:rsidR="00FF6D22" w:rsidRPr="00D36A2C">
        <w:rPr>
          <w:rFonts w:cs="Minion-Web"/>
          <w:sz w:val="20"/>
          <w:szCs w:val="20"/>
        </w:rPr>
        <w:t>after OPV2 withdrawal</w:t>
      </w:r>
      <w:r w:rsidR="00124FA1">
        <w:rPr>
          <w:rFonts w:cs="Minion-Web"/>
          <w:sz w:val="20"/>
          <w:szCs w:val="20"/>
        </w:rPr>
        <w:t xml:space="preserve">. </w:t>
      </w:r>
      <w:r w:rsidR="00124FA1" w:rsidRPr="00124FA1">
        <w:rPr>
          <w:rFonts w:cs="Minion-Web"/>
          <w:sz w:val="20"/>
          <w:szCs w:val="20"/>
        </w:rPr>
        <w:t>In ad</w:t>
      </w:r>
      <w:r w:rsidR="00CC69EE">
        <w:rPr>
          <w:rFonts w:cs="Minion-Web"/>
          <w:sz w:val="20"/>
          <w:szCs w:val="20"/>
        </w:rPr>
        <w:t>d</w:t>
      </w:r>
      <w:r w:rsidR="00124FA1" w:rsidRPr="00124FA1">
        <w:rPr>
          <w:rFonts w:cs="Minion-Web"/>
          <w:sz w:val="20"/>
          <w:szCs w:val="20"/>
        </w:rPr>
        <w:t>ition the SC committed funding to secure devices for ID administration</w:t>
      </w:r>
      <w:r w:rsidR="00FF6D22" w:rsidRPr="00D36A2C">
        <w:rPr>
          <w:rFonts w:cs="Minion-Web"/>
          <w:sz w:val="20"/>
          <w:szCs w:val="20"/>
        </w:rPr>
        <w:t>.</w:t>
      </w:r>
      <w:r w:rsidR="002C0807" w:rsidRPr="00D36A2C">
        <w:rPr>
          <w:rStyle w:val="FootnoteReference"/>
          <w:rFonts w:cs="Minion-Web"/>
          <w:sz w:val="20"/>
          <w:szCs w:val="20"/>
        </w:rPr>
        <w:footnoteReference w:id="10"/>
      </w:r>
      <w:r w:rsidR="00F91DD9" w:rsidRPr="00D36A2C">
        <w:rPr>
          <w:rFonts w:cs="Minion-Web"/>
          <w:sz w:val="20"/>
          <w:szCs w:val="20"/>
        </w:rPr>
        <w:t xml:space="preserve"> </w:t>
      </w:r>
    </w:p>
    <w:p w:rsidR="00124FA1" w:rsidRPr="00D36A2C" w:rsidRDefault="00124FA1" w:rsidP="00124FA1">
      <w:pPr>
        <w:snapToGrid w:val="0"/>
        <w:spacing w:after="0" w:line="360" w:lineRule="auto"/>
        <w:rPr>
          <w:rFonts w:cs="Minion-Web"/>
          <w:sz w:val="20"/>
          <w:szCs w:val="20"/>
        </w:rPr>
      </w:pPr>
    </w:p>
    <w:p w:rsidR="000C5E02" w:rsidRDefault="00124FA1" w:rsidP="00092DCB">
      <w:pPr>
        <w:snapToGrid w:val="0"/>
        <w:spacing w:after="0" w:line="360" w:lineRule="auto"/>
        <w:rPr>
          <w:rFonts w:cs="Minion-Web"/>
          <w:sz w:val="20"/>
          <w:szCs w:val="20"/>
        </w:rPr>
      </w:pPr>
      <w:r>
        <w:rPr>
          <w:rFonts w:cs="Minion-Web"/>
          <w:sz w:val="20"/>
          <w:szCs w:val="20"/>
        </w:rPr>
        <w:t>Subsequent to the decision by the SC, t</w:t>
      </w:r>
      <w:r w:rsidR="00F91DD9" w:rsidRPr="00D36A2C">
        <w:rPr>
          <w:rFonts w:cs="Minion-Web"/>
          <w:sz w:val="20"/>
          <w:szCs w:val="20"/>
        </w:rPr>
        <w:t xml:space="preserve">he GPEI will prepare and make available a </w:t>
      </w:r>
      <w:r w:rsidR="00113EC2" w:rsidRPr="00D36A2C">
        <w:rPr>
          <w:rFonts w:cs="Minion-Web"/>
          <w:sz w:val="20"/>
          <w:szCs w:val="20"/>
        </w:rPr>
        <w:t>regulatory package for all countries</w:t>
      </w:r>
      <w:r w:rsidR="00092DCB" w:rsidRPr="00D36A2C">
        <w:rPr>
          <w:rFonts w:cs="Minion-Web"/>
          <w:sz w:val="20"/>
          <w:szCs w:val="20"/>
        </w:rPr>
        <w:t xml:space="preserve"> on the evidence of fIPV administration. D</w:t>
      </w:r>
      <w:r w:rsidR="00113EC2" w:rsidRPr="00D36A2C">
        <w:rPr>
          <w:rFonts w:cs="Minion-Web"/>
          <w:sz w:val="20"/>
          <w:szCs w:val="20"/>
        </w:rPr>
        <w:t>iscussions with</w:t>
      </w:r>
      <w:r w:rsidR="00F91DD9" w:rsidRPr="00D36A2C">
        <w:rPr>
          <w:rFonts w:cs="Minion-Web"/>
          <w:sz w:val="20"/>
          <w:szCs w:val="20"/>
        </w:rPr>
        <w:t xml:space="preserve"> the</w:t>
      </w:r>
      <w:r w:rsidR="00113EC2" w:rsidRPr="00D36A2C">
        <w:rPr>
          <w:rFonts w:cs="Minion-Web"/>
          <w:sz w:val="20"/>
          <w:szCs w:val="20"/>
        </w:rPr>
        <w:t xml:space="preserve"> national regulatory authorities </w:t>
      </w:r>
      <w:r w:rsidR="00CC69EE">
        <w:rPr>
          <w:rFonts w:cs="Minion-Web"/>
          <w:sz w:val="20"/>
          <w:szCs w:val="20"/>
        </w:rPr>
        <w:t xml:space="preserve">of </w:t>
      </w:r>
      <w:r>
        <w:rPr>
          <w:rFonts w:cs="Minion-Web"/>
          <w:sz w:val="20"/>
          <w:szCs w:val="20"/>
        </w:rPr>
        <w:t>T</w:t>
      </w:r>
      <w:r w:rsidR="00113EC2" w:rsidRPr="00D36A2C">
        <w:rPr>
          <w:rFonts w:cs="Minion-Web"/>
          <w:sz w:val="20"/>
          <w:szCs w:val="20"/>
        </w:rPr>
        <w:t xml:space="preserve">ier 1 countries </w:t>
      </w:r>
      <w:r w:rsidR="00092DCB" w:rsidRPr="00D36A2C">
        <w:rPr>
          <w:rFonts w:cs="Minion-Web"/>
          <w:sz w:val="20"/>
          <w:szCs w:val="20"/>
        </w:rPr>
        <w:t>will be initiated in advance of implementation of this strategy</w:t>
      </w:r>
      <w:r>
        <w:rPr>
          <w:rFonts w:cs="Minion-Web"/>
          <w:sz w:val="20"/>
          <w:szCs w:val="20"/>
        </w:rPr>
        <w:t xml:space="preserve">; furthermore an </w:t>
      </w:r>
      <w:r w:rsidR="00113EC2" w:rsidRPr="00D36A2C">
        <w:rPr>
          <w:rFonts w:cs="Minion-Web"/>
          <w:sz w:val="20"/>
          <w:szCs w:val="20"/>
        </w:rPr>
        <w:t xml:space="preserve">evaluation plan </w:t>
      </w:r>
      <w:r w:rsidR="00092DCB" w:rsidRPr="00D36A2C">
        <w:rPr>
          <w:rFonts w:cs="Minion-Web"/>
          <w:sz w:val="20"/>
          <w:szCs w:val="20"/>
        </w:rPr>
        <w:t xml:space="preserve">will </w:t>
      </w:r>
      <w:r w:rsidR="00113EC2" w:rsidRPr="00D36A2C">
        <w:rPr>
          <w:rFonts w:cs="Minion-Web"/>
          <w:sz w:val="20"/>
          <w:szCs w:val="20"/>
        </w:rPr>
        <w:t>be developed to ensure</w:t>
      </w:r>
      <w:r w:rsidR="00092DCB" w:rsidRPr="00D36A2C">
        <w:rPr>
          <w:rFonts w:cs="Minion-Web"/>
          <w:sz w:val="20"/>
          <w:szCs w:val="20"/>
        </w:rPr>
        <w:t xml:space="preserve"> and monitor</w:t>
      </w:r>
      <w:r w:rsidR="00113EC2" w:rsidRPr="00D36A2C">
        <w:rPr>
          <w:rFonts w:cs="Minion-Web"/>
          <w:sz w:val="20"/>
          <w:szCs w:val="20"/>
        </w:rPr>
        <w:t xml:space="preserve"> </w:t>
      </w:r>
      <w:r>
        <w:rPr>
          <w:rFonts w:cs="Minion-Web"/>
          <w:sz w:val="20"/>
          <w:szCs w:val="20"/>
        </w:rPr>
        <w:t xml:space="preserve">the </w:t>
      </w:r>
      <w:r w:rsidR="00113EC2" w:rsidRPr="00D36A2C">
        <w:rPr>
          <w:rFonts w:cs="Minion-Web"/>
          <w:sz w:val="20"/>
          <w:szCs w:val="20"/>
        </w:rPr>
        <w:t>feasibility and impact of ID fIPV use.</w:t>
      </w:r>
      <w:r w:rsidR="002C0807" w:rsidRPr="00D36A2C">
        <w:rPr>
          <w:rStyle w:val="FootnoteReference"/>
          <w:rFonts w:cs="Minion-Web"/>
          <w:sz w:val="20"/>
          <w:szCs w:val="20"/>
        </w:rPr>
        <w:footnoteReference w:id="11"/>
      </w:r>
      <w:r w:rsidR="00113EC2" w:rsidRPr="00D36A2C">
        <w:rPr>
          <w:rFonts w:cs="Minion-Web"/>
          <w:sz w:val="20"/>
          <w:szCs w:val="20"/>
        </w:rPr>
        <w:t xml:space="preserve"> </w:t>
      </w:r>
    </w:p>
    <w:p w:rsidR="00124FA1" w:rsidRPr="00D36A2C" w:rsidRDefault="00124FA1" w:rsidP="00092DCB">
      <w:pPr>
        <w:snapToGrid w:val="0"/>
        <w:spacing w:after="0" w:line="360" w:lineRule="auto"/>
        <w:rPr>
          <w:rFonts w:cs="Minion-Web"/>
          <w:sz w:val="20"/>
          <w:szCs w:val="20"/>
        </w:rPr>
      </w:pPr>
    </w:p>
    <w:p w:rsidR="000C5E02" w:rsidRDefault="000C5E02" w:rsidP="006B5315">
      <w:pPr>
        <w:snapToGrid w:val="0"/>
        <w:spacing w:after="0" w:line="360" w:lineRule="auto"/>
        <w:rPr>
          <w:rFonts w:eastAsia="MS Mincho"/>
          <w:sz w:val="20"/>
          <w:szCs w:val="20"/>
          <w:lang w:eastAsia="ja-JP"/>
        </w:rPr>
      </w:pPr>
      <w:r w:rsidRPr="00D36A2C">
        <w:rPr>
          <w:rFonts w:cs="Minion-Web"/>
          <w:sz w:val="20"/>
          <w:szCs w:val="20"/>
        </w:rPr>
        <w:t xml:space="preserve">In March 2016, SAGE </w:t>
      </w:r>
      <w:r w:rsidR="00992B9D" w:rsidRPr="00D36A2C">
        <w:rPr>
          <w:rFonts w:cs="Minion-Web"/>
          <w:sz w:val="20"/>
          <w:szCs w:val="20"/>
        </w:rPr>
        <w:t>reviewed</w:t>
      </w:r>
      <w:r w:rsidR="00092DCB" w:rsidRPr="00D36A2C">
        <w:rPr>
          <w:rFonts w:cs="Minion-Web"/>
          <w:sz w:val="20"/>
          <w:szCs w:val="20"/>
        </w:rPr>
        <w:t xml:space="preserve"> the scientific evidence of</w:t>
      </w:r>
      <w:r w:rsidR="00992B9D" w:rsidRPr="00D36A2C">
        <w:rPr>
          <w:rFonts w:cs="Minion-Web"/>
          <w:sz w:val="20"/>
          <w:szCs w:val="20"/>
        </w:rPr>
        <w:t xml:space="preserve"> </w:t>
      </w:r>
      <w:r w:rsidRPr="00D36A2C">
        <w:rPr>
          <w:rFonts w:cs="Minion-Web"/>
          <w:sz w:val="20"/>
          <w:szCs w:val="20"/>
        </w:rPr>
        <w:t>ID fIPV</w:t>
      </w:r>
      <w:r w:rsidR="00092DCB" w:rsidRPr="00D36A2C">
        <w:rPr>
          <w:rFonts w:cs="Minion-Web"/>
          <w:sz w:val="20"/>
          <w:szCs w:val="20"/>
        </w:rPr>
        <w:t xml:space="preserve"> admin</w:t>
      </w:r>
      <w:r w:rsidR="00124FA1">
        <w:rPr>
          <w:rFonts w:cs="Minion-Web"/>
          <w:sz w:val="20"/>
          <w:szCs w:val="20"/>
        </w:rPr>
        <w:t>i</w:t>
      </w:r>
      <w:r w:rsidR="00092DCB" w:rsidRPr="00D36A2C">
        <w:rPr>
          <w:rFonts w:cs="Minion-Web"/>
          <w:sz w:val="20"/>
          <w:szCs w:val="20"/>
        </w:rPr>
        <w:t>stration. In the context of</w:t>
      </w:r>
      <w:r w:rsidRPr="00D36A2C">
        <w:rPr>
          <w:rFonts w:cs="Minion-Web"/>
          <w:sz w:val="20"/>
          <w:szCs w:val="20"/>
        </w:rPr>
        <w:t xml:space="preserve"> IPV supply constraints</w:t>
      </w:r>
      <w:r w:rsidR="00092DCB" w:rsidRPr="00D36A2C">
        <w:rPr>
          <w:rFonts w:cs="Minion-Web"/>
          <w:sz w:val="20"/>
          <w:szCs w:val="20"/>
        </w:rPr>
        <w:t xml:space="preserve"> </w:t>
      </w:r>
      <w:r w:rsidRPr="00D36A2C">
        <w:rPr>
          <w:rFonts w:eastAsia="MS Mincho" w:cstheme="minorHAnsi"/>
          <w:sz w:val="20"/>
          <w:szCs w:val="20"/>
          <w:lang w:eastAsia="ja-JP"/>
        </w:rPr>
        <w:t>SAGE recommend</w:t>
      </w:r>
      <w:r w:rsidR="00FC73E2">
        <w:rPr>
          <w:rFonts w:eastAsia="MS Mincho" w:cstheme="minorHAnsi"/>
          <w:sz w:val="20"/>
          <w:szCs w:val="20"/>
          <w:lang w:eastAsia="ja-JP"/>
        </w:rPr>
        <w:t>ed</w:t>
      </w:r>
      <w:r w:rsidRPr="00D36A2C">
        <w:rPr>
          <w:rFonts w:eastAsia="MS Mincho" w:cstheme="minorHAnsi"/>
          <w:sz w:val="20"/>
          <w:szCs w:val="20"/>
          <w:lang w:eastAsia="ja-JP"/>
        </w:rPr>
        <w:t xml:space="preserve"> that countries consider adopting a </w:t>
      </w:r>
      <w:r w:rsidRPr="00D36A2C">
        <w:rPr>
          <w:rFonts w:cstheme="minorHAnsi"/>
          <w:sz w:val="20"/>
          <w:szCs w:val="20"/>
        </w:rPr>
        <w:t>two fractional doses IPV schedule (e.g. at 6 and 14 weeks)</w:t>
      </w:r>
      <w:r w:rsidRPr="00D36A2C">
        <w:rPr>
          <w:rFonts w:eastAsia="MS Mincho" w:cstheme="minorHAnsi"/>
          <w:sz w:val="20"/>
          <w:szCs w:val="20"/>
          <w:lang w:eastAsia="ja-JP"/>
        </w:rPr>
        <w:t xml:space="preserve">. </w:t>
      </w:r>
      <w:r w:rsidRPr="00D36A2C">
        <w:rPr>
          <w:rFonts w:eastAsia="MS Mincho"/>
          <w:sz w:val="20"/>
          <w:szCs w:val="20"/>
          <w:lang w:eastAsia="ja-JP"/>
        </w:rPr>
        <w:t>SAGE further recommended that countries which are considering introducing a fractional dose schedule should ensure that health workers capacity to administer ID injection is assessed and strengthened.</w:t>
      </w:r>
      <w:r w:rsidR="002C0807" w:rsidRPr="00D36A2C">
        <w:rPr>
          <w:rStyle w:val="FootnoteReference"/>
          <w:rFonts w:eastAsia="MS Mincho"/>
          <w:sz w:val="20"/>
          <w:szCs w:val="20"/>
          <w:lang w:eastAsia="ja-JP"/>
        </w:rPr>
        <w:footnoteReference w:id="12"/>
      </w:r>
      <w:r w:rsidRPr="00D36A2C">
        <w:rPr>
          <w:rFonts w:eastAsia="MS Mincho"/>
          <w:sz w:val="20"/>
          <w:szCs w:val="20"/>
          <w:lang w:eastAsia="ja-JP"/>
        </w:rPr>
        <w:t xml:space="preserve"> </w:t>
      </w:r>
      <w:r w:rsidR="00FC73E2">
        <w:rPr>
          <w:rFonts w:eastAsia="MS Mincho"/>
          <w:sz w:val="20"/>
          <w:szCs w:val="20"/>
          <w:lang w:eastAsia="ja-JP"/>
        </w:rPr>
        <w:t>This was further endorsed at SAGE meeting in April 2016.</w:t>
      </w:r>
    </w:p>
    <w:p w:rsidR="00FC73E2" w:rsidRPr="00D36A2C" w:rsidRDefault="00FC73E2" w:rsidP="006B5315">
      <w:pPr>
        <w:snapToGrid w:val="0"/>
        <w:spacing w:after="0" w:line="360" w:lineRule="auto"/>
        <w:rPr>
          <w:rFonts w:eastAsia="MS Mincho"/>
          <w:sz w:val="20"/>
          <w:szCs w:val="20"/>
          <w:lang w:eastAsia="ja-JP"/>
        </w:rPr>
      </w:pPr>
    </w:p>
    <w:p w:rsidR="000C5E02" w:rsidRPr="00D36A2C" w:rsidRDefault="000C5E02" w:rsidP="00FC73E2">
      <w:pPr>
        <w:snapToGrid w:val="0"/>
        <w:spacing w:after="0" w:line="360" w:lineRule="auto"/>
        <w:rPr>
          <w:rFonts w:eastAsia="MS Mincho"/>
          <w:sz w:val="20"/>
          <w:szCs w:val="20"/>
          <w:lang w:eastAsia="ja-JP"/>
        </w:rPr>
      </w:pPr>
      <w:r w:rsidRPr="00D36A2C">
        <w:rPr>
          <w:rFonts w:cs="Minion-Web"/>
          <w:sz w:val="20"/>
          <w:szCs w:val="20"/>
        </w:rPr>
        <w:t xml:space="preserve">The WHO 2016 position paper states that </w:t>
      </w:r>
      <w:r w:rsidRPr="00D36A2C">
        <w:rPr>
          <w:rFonts w:cstheme="minorHAnsi"/>
          <w:sz w:val="20"/>
          <w:szCs w:val="20"/>
        </w:rPr>
        <w:t xml:space="preserve">in the context of an IPV shortage, countries could consider </w:t>
      </w:r>
      <w:r w:rsidR="00397A3A" w:rsidRPr="00D36A2C">
        <w:rPr>
          <w:rFonts w:cstheme="minorHAnsi"/>
          <w:sz w:val="20"/>
          <w:szCs w:val="20"/>
        </w:rPr>
        <w:t>instituting 2</w:t>
      </w:r>
      <w:r w:rsidRPr="00D36A2C">
        <w:rPr>
          <w:rFonts w:cstheme="minorHAnsi"/>
          <w:sz w:val="20"/>
          <w:szCs w:val="20"/>
        </w:rPr>
        <w:t>-</w:t>
      </w:r>
      <w:r w:rsidR="00FC73E2">
        <w:rPr>
          <w:rFonts w:cstheme="minorHAnsi"/>
          <w:sz w:val="20"/>
          <w:szCs w:val="20"/>
        </w:rPr>
        <w:t xml:space="preserve">ID fIPV </w:t>
      </w:r>
      <w:r w:rsidRPr="00D36A2C">
        <w:rPr>
          <w:rFonts w:cstheme="minorHAnsi"/>
          <w:sz w:val="20"/>
          <w:szCs w:val="20"/>
        </w:rPr>
        <w:t>dose</w:t>
      </w:r>
      <w:r w:rsidR="00FC73E2">
        <w:rPr>
          <w:rFonts w:cstheme="minorHAnsi"/>
          <w:sz w:val="20"/>
          <w:szCs w:val="20"/>
        </w:rPr>
        <w:t>s administered four weeks apart, in their routine immunisation schedule</w:t>
      </w:r>
      <w:r w:rsidR="00FC73E2">
        <w:rPr>
          <w:sz w:val="20"/>
          <w:szCs w:val="20"/>
        </w:rPr>
        <w:t>. This</w:t>
      </w:r>
      <w:r w:rsidR="00D723D4" w:rsidRPr="00D36A2C">
        <w:rPr>
          <w:sz w:val="20"/>
          <w:szCs w:val="20"/>
        </w:rPr>
        <w:t xml:space="preserve"> </w:t>
      </w:r>
      <w:r w:rsidR="00D723D4" w:rsidRPr="00D36A2C">
        <w:rPr>
          <w:rFonts w:cstheme="minorHAnsi"/>
          <w:sz w:val="20"/>
          <w:szCs w:val="20"/>
        </w:rPr>
        <w:t>could ensure that all eligible infants receive IPV</w:t>
      </w:r>
      <w:r w:rsidR="00FC73E2">
        <w:rPr>
          <w:rFonts w:cstheme="minorHAnsi"/>
          <w:sz w:val="20"/>
          <w:szCs w:val="20"/>
        </w:rPr>
        <w:t>. As a strategy this</w:t>
      </w:r>
      <w:r w:rsidR="00FC73E2" w:rsidRPr="00D36A2C">
        <w:rPr>
          <w:rFonts w:cstheme="minorHAnsi"/>
          <w:sz w:val="20"/>
          <w:szCs w:val="20"/>
        </w:rPr>
        <w:t xml:space="preserve"> </w:t>
      </w:r>
      <w:r w:rsidR="00D723D4" w:rsidRPr="00D36A2C">
        <w:rPr>
          <w:rFonts w:cstheme="minorHAnsi"/>
          <w:sz w:val="20"/>
          <w:szCs w:val="20"/>
        </w:rPr>
        <w:t xml:space="preserve">is dose-sparing, and results in </w:t>
      </w:r>
      <w:r w:rsidR="00FC73E2">
        <w:rPr>
          <w:rFonts w:cstheme="minorHAnsi"/>
          <w:sz w:val="20"/>
          <w:szCs w:val="20"/>
        </w:rPr>
        <w:t xml:space="preserve">higher </w:t>
      </w:r>
      <w:r w:rsidR="00D723D4" w:rsidRPr="00D36A2C">
        <w:rPr>
          <w:rFonts w:cstheme="minorHAnsi"/>
          <w:sz w:val="20"/>
          <w:szCs w:val="20"/>
        </w:rPr>
        <w:t xml:space="preserve">immunogenicity than a single full </w:t>
      </w:r>
      <w:r w:rsidR="00FC73E2">
        <w:rPr>
          <w:rFonts w:cstheme="minorHAnsi"/>
          <w:sz w:val="20"/>
          <w:szCs w:val="20"/>
        </w:rPr>
        <w:t xml:space="preserve">IPV </w:t>
      </w:r>
      <w:r w:rsidR="00397A3A">
        <w:rPr>
          <w:rFonts w:cstheme="minorHAnsi"/>
          <w:sz w:val="20"/>
          <w:szCs w:val="20"/>
        </w:rPr>
        <w:t>dose</w:t>
      </w:r>
      <w:r w:rsidRPr="00D36A2C">
        <w:rPr>
          <w:rFonts w:cstheme="minorHAnsi"/>
          <w:sz w:val="20"/>
          <w:szCs w:val="20"/>
        </w:rPr>
        <w:t xml:space="preserve">. </w:t>
      </w:r>
      <w:r w:rsidR="00FC73E2">
        <w:rPr>
          <w:rFonts w:cstheme="minorHAnsi"/>
          <w:sz w:val="20"/>
          <w:szCs w:val="20"/>
        </w:rPr>
        <w:t>The position paper</w:t>
      </w:r>
      <w:r w:rsidRPr="00D36A2C">
        <w:rPr>
          <w:rFonts w:cstheme="minorHAnsi"/>
          <w:sz w:val="20"/>
          <w:szCs w:val="20"/>
        </w:rPr>
        <w:t xml:space="preserve"> further state</w:t>
      </w:r>
      <w:r w:rsidR="00FC73E2">
        <w:rPr>
          <w:rFonts w:cstheme="minorHAnsi"/>
          <w:sz w:val="20"/>
          <w:szCs w:val="20"/>
        </w:rPr>
        <w:t>d</w:t>
      </w:r>
      <w:r w:rsidRPr="00D36A2C">
        <w:rPr>
          <w:rFonts w:cstheme="minorHAnsi"/>
          <w:sz w:val="20"/>
          <w:szCs w:val="20"/>
        </w:rPr>
        <w:t xml:space="preserve"> that </w:t>
      </w:r>
      <w:r w:rsidR="00FC73E2">
        <w:rPr>
          <w:rFonts w:cstheme="minorHAnsi"/>
          <w:sz w:val="20"/>
          <w:szCs w:val="20"/>
        </w:rPr>
        <w:t>ID fIPV</w:t>
      </w:r>
      <w:r w:rsidRPr="00D36A2C">
        <w:rPr>
          <w:rFonts w:cstheme="minorHAnsi"/>
          <w:sz w:val="20"/>
          <w:szCs w:val="20"/>
        </w:rPr>
        <w:t xml:space="preserve"> </w:t>
      </w:r>
      <w:r w:rsidR="00FC73E2">
        <w:rPr>
          <w:rFonts w:cstheme="minorHAnsi"/>
          <w:sz w:val="20"/>
          <w:szCs w:val="20"/>
        </w:rPr>
        <w:t xml:space="preserve">strategy </w:t>
      </w:r>
      <w:r w:rsidRPr="00D36A2C">
        <w:rPr>
          <w:rFonts w:cstheme="minorHAnsi"/>
          <w:sz w:val="20"/>
          <w:szCs w:val="20"/>
        </w:rPr>
        <w:t>may be particularly appropriate for outbreak response if supplies are limited.</w:t>
      </w:r>
      <w:r w:rsidR="00E8331C" w:rsidRPr="00D36A2C">
        <w:rPr>
          <w:rStyle w:val="FootnoteReference"/>
          <w:rFonts w:cstheme="minorHAnsi"/>
          <w:sz w:val="20"/>
          <w:szCs w:val="20"/>
        </w:rPr>
        <w:footnoteReference w:id="13"/>
      </w:r>
      <w:r w:rsidRPr="00D36A2C">
        <w:rPr>
          <w:rFonts w:cstheme="minorHAnsi"/>
          <w:sz w:val="20"/>
          <w:szCs w:val="20"/>
        </w:rPr>
        <w:t xml:space="preserve"> </w:t>
      </w:r>
    </w:p>
    <w:p w:rsidR="000C5E02" w:rsidRPr="00D36A2C" w:rsidRDefault="000C5E02" w:rsidP="00736F41">
      <w:pPr>
        <w:snapToGrid w:val="0"/>
        <w:spacing w:after="0" w:line="360" w:lineRule="auto"/>
        <w:rPr>
          <w:rFonts w:cs="Minion-Web"/>
          <w:sz w:val="20"/>
          <w:szCs w:val="20"/>
        </w:rPr>
      </w:pPr>
    </w:p>
    <w:p w:rsidR="00B3619C" w:rsidRPr="00D36A2C" w:rsidRDefault="00D75490" w:rsidP="00FF59DF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b/>
          <w:bCs/>
          <w:sz w:val="20"/>
          <w:szCs w:val="20"/>
          <w:lang w:val="en-US"/>
        </w:rPr>
      </w:pPr>
      <w:r>
        <w:rPr>
          <w:rFonts w:asciiTheme="minorHAnsi" w:hAnsiTheme="minorHAnsi" w:cs="Arial"/>
          <w:b/>
          <w:bCs/>
          <w:sz w:val="20"/>
          <w:szCs w:val="20"/>
          <w:lang w:val="en-US"/>
        </w:rPr>
        <w:t>REGULATORY CONSIDERATIONS</w:t>
      </w:r>
    </w:p>
    <w:p w:rsidR="00B3619C" w:rsidRPr="00D36A2C" w:rsidRDefault="00B3619C" w:rsidP="003640B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b/>
          <w:bCs/>
          <w:sz w:val="20"/>
          <w:szCs w:val="20"/>
          <w:lang w:val="en-US"/>
        </w:rPr>
      </w:pPr>
    </w:p>
    <w:p w:rsidR="00B3619C" w:rsidRPr="00D36A2C" w:rsidRDefault="00113EC2" w:rsidP="00FC73E2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="Arial"/>
          <w:sz w:val="20"/>
          <w:szCs w:val="20"/>
          <w:lang w:val="en-US"/>
        </w:rPr>
      </w:pPr>
      <w:r w:rsidRPr="00D36A2C">
        <w:rPr>
          <w:rFonts w:asciiTheme="minorHAnsi" w:hAnsiTheme="minorHAnsi" w:cs="Arial"/>
          <w:sz w:val="20"/>
          <w:szCs w:val="20"/>
          <w:lang w:val="en-US"/>
        </w:rPr>
        <w:t>The current IPV label does not include ID administration of fIPV</w:t>
      </w:r>
      <w:r w:rsidR="00FC73E2">
        <w:rPr>
          <w:rFonts w:asciiTheme="minorHAnsi" w:hAnsiTheme="minorHAnsi" w:cs="Arial"/>
          <w:sz w:val="20"/>
          <w:szCs w:val="20"/>
          <w:lang w:val="en-US"/>
        </w:rPr>
        <w:t>. T</w:t>
      </w:r>
      <w:r w:rsidRPr="00D36A2C">
        <w:rPr>
          <w:rFonts w:asciiTheme="minorHAnsi" w:hAnsiTheme="minorHAnsi" w:cs="Arial"/>
          <w:sz w:val="20"/>
          <w:szCs w:val="20"/>
          <w:lang w:val="en-US"/>
        </w:rPr>
        <w:t xml:space="preserve">herefore, use of ID fIPV </w:t>
      </w:r>
      <w:r w:rsidR="00FC73E2">
        <w:rPr>
          <w:rFonts w:asciiTheme="minorHAnsi" w:hAnsiTheme="minorHAnsi" w:cs="Arial"/>
          <w:sz w:val="20"/>
          <w:szCs w:val="20"/>
          <w:lang w:val="en-US"/>
        </w:rPr>
        <w:t xml:space="preserve">will </w:t>
      </w:r>
      <w:r w:rsidR="008A1C11">
        <w:rPr>
          <w:rFonts w:asciiTheme="minorHAnsi" w:hAnsiTheme="minorHAnsi" w:cs="Arial"/>
          <w:sz w:val="20"/>
          <w:szCs w:val="20"/>
          <w:lang w:val="en-US"/>
        </w:rPr>
        <w:t>require</w:t>
      </w:r>
      <w:r w:rsidRPr="00D36A2C">
        <w:rPr>
          <w:rFonts w:asciiTheme="minorHAnsi" w:hAnsiTheme="minorHAnsi" w:cs="Arial"/>
          <w:sz w:val="20"/>
          <w:szCs w:val="20"/>
          <w:lang w:val="en-US"/>
        </w:rPr>
        <w:t xml:space="preserve"> IPV label change or </w:t>
      </w:r>
      <w:r w:rsidR="00FC73E2">
        <w:rPr>
          <w:rFonts w:asciiTheme="minorHAnsi" w:hAnsiTheme="minorHAnsi" w:cs="Arial"/>
          <w:sz w:val="20"/>
          <w:szCs w:val="20"/>
          <w:lang w:val="en-US"/>
        </w:rPr>
        <w:t xml:space="preserve">that ID fIPV be administered as </w:t>
      </w:r>
      <w:r w:rsidRPr="00D36A2C">
        <w:rPr>
          <w:rFonts w:asciiTheme="minorHAnsi" w:hAnsiTheme="minorHAnsi" w:cs="Arial"/>
          <w:sz w:val="20"/>
          <w:szCs w:val="20"/>
          <w:lang w:val="en-US"/>
        </w:rPr>
        <w:t>off-label use</w:t>
      </w:r>
      <w:r w:rsidR="005B5F2F" w:rsidRPr="00D36A2C">
        <w:rPr>
          <w:rFonts w:asciiTheme="minorHAnsi" w:hAnsiTheme="minorHAnsi" w:cs="Arial"/>
          <w:sz w:val="20"/>
          <w:szCs w:val="20"/>
          <w:lang w:val="en-US"/>
        </w:rPr>
        <w:t>, which is quite frequently used for vaccines</w:t>
      </w:r>
      <w:r w:rsidRPr="00D36A2C">
        <w:rPr>
          <w:rFonts w:asciiTheme="minorHAnsi" w:hAnsiTheme="minorHAnsi" w:cs="Arial"/>
          <w:sz w:val="20"/>
          <w:szCs w:val="20"/>
          <w:lang w:val="en-US"/>
        </w:rPr>
        <w:t xml:space="preserve">. </w:t>
      </w:r>
      <w:r w:rsidR="00977B63" w:rsidRPr="00D36A2C">
        <w:rPr>
          <w:rFonts w:asciiTheme="minorHAnsi" w:hAnsiTheme="minorHAnsi" w:cs="Arial"/>
          <w:sz w:val="20"/>
          <w:szCs w:val="20"/>
          <w:lang w:val="en-US"/>
        </w:rPr>
        <w:t xml:space="preserve"> </w:t>
      </w:r>
    </w:p>
    <w:p w:rsidR="00B3619C" w:rsidRPr="00D36A2C" w:rsidRDefault="00B3619C" w:rsidP="003640B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b/>
          <w:bCs/>
          <w:sz w:val="20"/>
          <w:szCs w:val="20"/>
          <w:lang w:val="en-US"/>
        </w:rPr>
      </w:pPr>
    </w:p>
    <w:p w:rsidR="00D264BD" w:rsidRPr="00D36A2C" w:rsidRDefault="00D75490" w:rsidP="00D264BD">
      <w:pPr>
        <w:snapToGrid w:val="0"/>
        <w:spacing w:after="0"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DEVICES</w:t>
      </w:r>
    </w:p>
    <w:p w:rsidR="00FC73E2" w:rsidRDefault="00717762" w:rsidP="00FC73E2">
      <w:pPr>
        <w:snapToGrid w:val="0"/>
        <w:spacing w:after="0" w:line="360" w:lineRule="auto"/>
        <w:rPr>
          <w:rFonts w:cs="Arial"/>
          <w:sz w:val="20"/>
          <w:szCs w:val="20"/>
          <w:lang w:val="en-US"/>
        </w:rPr>
      </w:pPr>
      <w:r w:rsidRPr="00D36A2C">
        <w:rPr>
          <w:rFonts w:cs="Arial"/>
          <w:sz w:val="20"/>
          <w:szCs w:val="20"/>
          <w:lang w:val="en-US"/>
        </w:rPr>
        <w:t xml:space="preserve">There are several options for </w:t>
      </w:r>
      <w:r w:rsidR="00BA4455" w:rsidRPr="00D36A2C">
        <w:rPr>
          <w:sz w:val="20"/>
          <w:szCs w:val="20"/>
        </w:rPr>
        <w:t xml:space="preserve">needle free and needle adaptor devices </w:t>
      </w:r>
      <w:r w:rsidR="00C81632" w:rsidRPr="00D36A2C">
        <w:rPr>
          <w:rFonts w:cs="Arial"/>
          <w:sz w:val="20"/>
          <w:szCs w:val="20"/>
          <w:lang w:val="en-US"/>
        </w:rPr>
        <w:t>to facilitate intradermal</w:t>
      </w:r>
      <w:r w:rsidRPr="00D36A2C">
        <w:rPr>
          <w:rFonts w:cs="Arial"/>
          <w:sz w:val="20"/>
          <w:szCs w:val="20"/>
          <w:lang w:val="en-US"/>
        </w:rPr>
        <w:t xml:space="preserve"> administration</w:t>
      </w:r>
      <w:r w:rsidR="00C81632" w:rsidRPr="00D36A2C">
        <w:rPr>
          <w:rFonts w:cs="Arial"/>
          <w:sz w:val="20"/>
          <w:szCs w:val="20"/>
          <w:lang w:val="en-US"/>
        </w:rPr>
        <w:t xml:space="preserve"> of fIPV</w:t>
      </w:r>
      <w:r w:rsidR="00DA5112" w:rsidRPr="00D36A2C">
        <w:rPr>
          <w:rFonts w:cs="Arial"/>
          <w:sz w:val="20"/>
          <w:szCs w:val="20"/>
          <w:lang w:val="en-US"/>
        </w:rPr>
        <w:t>, which will become</w:t>
      </w:r>
      <w:r w:rsidR="001E485D" w:rsidRPr="00D36A2C">
        <w:rPr>
          <w:rFonts w:cs="Arial"/>
          <w:sz w:val="20"/>
          <w:szCs w:val="20"/>
          <w:lang w:val="en-US"/>
        </w:rPr>
        <w:t xml:space="preserve"> widely available </w:t>
      </w:r>
      <w:r w:rsidR="006B5315" w:rsidRPr="00D36A2C">
        <w:rPr>
          <w:rFonts w:cs="Arial"/>
          <w:sz w:val="20"/>
          <w:szCs w:val="20"/>
          <w:lang w:val="en-US"/>
        </w:rPr>
        <w:t xml:space="preserve">in </w:t>
      </w:r>
      <w:r w:rsidR="001E485D" w:rsidRPr="00D36A2C">
        <w:rPr>
          <w:rFonts w:cs="Arial"/>
          <w:sz w:val="20"/>
          <w:szCs w:val="20"/>
          <w:lang w:val="en-US"/>
        </w:rPr>
        <w:t>2017</w:t>
      </w:r>
      <w:r w:rsidR="00D86BFE">
        <w:rPr>
          <w:rFonts w:cs="Arial"/>
          <w:sz w:val="20"/>
          <w:szCs w:val="20"/>
          <w:lang w:val="en-US"/>
        </w:rPr>
        <w:t xml:space="preserve"> (Table 3</w:t>
      </w:r>
      <w:r w:rsidR="007C292B" w:rsidRPr="00D36A2C">
        <w:rPr>
          <w:rFonts w:cs="Arial"/>
          <w:sz w:val="20"/>
          <w:szCs w:val="20"/>
          <w:lang w:val="en-US"/>
        </w:rPr>
        <w:t xml:space="preserve">). </w:t>
      </w:r>
      <w:r w:rsidR="0061612C" w:rsidRPr="00D36A2C">
        <w:rPr>
          <w:rFonts w:cs="Arial"/>
          <w:sz w:val="20"/>
          <w:szCs w:val="20"/>
          <w:lang w:val="en-US"/>
        </w:rPr>
        <w:t xml:space="preserve"> </w:t>
      </w:r>
      <w:r w:rsidR="00FC73E2">
        <w:rPr>
          <w:rFonts w:cs="Arial"/>
          <w:sz w:val="20"/>
          <w:szCs w:val="20"/>
          <w:lang w:val="en-US"/>
        </w:rPr>
        <w:t>Several</w:t>
      </w:r>
      <w:r w:rsidR="00FC73E2" w:rsidRPr="00D36A2C">
        <w:rPr>
          <w:rFonts w:cs="Arial"/>
          <w:sz w:val="20"/>
          <w:szCs w:val="20"/>
          <w:lang w:val="en-US"/>
        </w:rPr>
        <w:t xml:space="preserve"> </w:t>
      </w:r>
      <w:r w:rsidR="0061612C" w:rsidRPr="00D36A2C">
        <w:rPr>
          <w:rFonts w:cs="Arial"/>
          <w:sz w:val="20"/>
          <w:szCs w:val="20"/>
          <w:lang w:val="en-US"/>
        </w:rPr>
        <w:t>devices have been assessed in clinical studies</w:t>
      </w:r>
      <w:r w:rsidR="002B51F1" w:rsidRPr="00D36A2C">
        <w:rPr>
          <w:rFonts w:cs="Arial"/>
          <w:sz w:val="20"/>
          <w:szCs w:val="20"/>
          <w:lang w:val="en-US"/>
        </w:rPr>
        <w:t xml:space="preserve">, such as </w:t>
      </w:r>
      <w:proofErr w:type="spellStart"/>
      <w:r w:rsidR="002B51F1" w:rsidRPr="00D36A2C">
        <w:rPr>
          <w:rFonts w:cs="Arial"/>
          <w:sz w:val="20"/>
          <w:szCs w:val="20"/>
          <w:lang w:val="en-US"/>
        </w:rPr>
        <w:t>Micronjet</w:t>
      </w:r>
      <w:proofErr w:type="spellEnd"/>
      <w:r w:rsidR="002B51F1" w:rsidRPr="00D36A2C">
        <w:rPr>
          <w:rFonts w:cs="Arial"/>
          <w:sz w:val="20"/>
          <w:szCs w:val="20"/>
          <w:lang w:val="en-US"/>
        </w:rPr>
        <w:t xml:space="preserve"> 600 in Bangladesh</w:t>
      </w:r>
      <w:r w:rsidR="00835960">
        <w:rPr>
          <w:rFonts w:cs="Arial"/>
          <w:sz w:val="20"/>
          <w:szCs w:val="20"/>
          <w:vertAlign w:val="superscript"/>
          <w:lang w:val="en-US"/>
        </w:rPr>
        <w:t>5</w:t>
      </w:r>
      <w:r w:rsidR="008A1C11">
        <w:rPr>
          <w:rFonts w:cs="Arial"/>
          <w:sz w:val="20"/>
          <w:szCs w:val="20"/>
          <w:lang w:val="en-US"/>
        </w:rPr>
        <w:t xml:space="preserve">, </w:t>
      </w:r>
      <w:r w:rsidR="002E3733" w:rsidRPr="00D36A2C">
        <w:rPr>
          <w:rFonts w:cs="Arial"/>
          <w:sz w:val="20"/>
          <w:szCs w:val="20"/>
          <w:lang w:val="en-US"/>
        </w:rPr>
        <w:t xml:space="preserve">Tropis </w:t>
      </w:r>
      <w:r w:rsidR="00381C87" w:rsidRPr="00D36A2C">
        <w:rPr>
          <w:rFonts w:cs="Arial"/>
          <w:sz w:val="20"/>
          <w:szCs w:val="20"/>
          <w:lang w:val="en-US"/>
        </w:rPr>
        <w:t>in Gambia</w:t>
      </w:r>
      <w:r w:rsidR="00381C87" w:rsidRPr="00D36A2C">
        <w:rPr>
          <w:rStyle w:val="FootnoteReference"/>
          <w:rFonts w:cs="Arial"/>
          <w:sz w:val="20"/>
          <w:szCs w:val="20"/>
          <w:lang w:val="en-US"/>
        </w:rPr>
        <w:footnoteReference w:id="14"/>
      </w:r>
      <w:r w:rsidR="00381C87" w:rsidRPr="00D36A2C">
        <w:rPr>
          <w:rFonts w:cs="Arial"/>
          <w:sz w:val="20"/>
          <w:szCs w:val="20"/>
          <w:lang w:val="en-US"/>
        </w:rPr>
        <w:t xml:space="preserve"> </w:t>
      </w:r>
      <w:r w:rsidR="002B51F1" w:rsidRPr="00D36A2C">
        <w:rPr>
          <w:rFonts w:cs="Arial"/>
          <w:sz w:val="20"/>
          <w:szCs w:val="20"/>
          <w:lang w:val="en-US"/>
        </w:rPr>
        <w:t>and</w:t>
      </w:r>
      <w:r w:rsidR="00FC73E2">
        <w:rPr>
          <w:rFonts w:cs="Arial"/>
          <w:sz w:val="20"/>
          <w:szCs w:val="20"/>
          <w:lang w:val="en-US"/>
        </w:rPr>
        <w:t xml:space="preserve"> </w:t>
      </w:r>
      <w:r w:rsidR="002B51F1" w:rsidRPr="00D36A2C">
        <w:rPr>
          <w:rFonts w:cs="Arial"/>
          <w:sz w:val="20"/>
          <w:szCs w:val="20"/>
          <w:lang w:val="en-US"/>
        </w:rPr>
        <w:t>Tropis and ID Pen in Cuba</w:t>
      </w:r>
      <w:r w:rsidR="00244C92">
        <w:rPr>
          <w:rStyle w:val="FootnoteReference"/>
          <w:rFonts w:cs="Arial"/>
          <w:sz w:val="20"/>
          <w:szCs w:val="20"/>
          <w:lang w:val="en-US"/>
        </w:rPr>
        <w:footnoteReference w:id="15"/>
      </w:r>
      <w:r w:rsidR="002B51F1" w:rsidRPr="00D36A2C">
        <w:rPr>
          <w:rFonts w:cs="Arial"/>
          <w:sz w:val="20"/>
          <w:szCs w:val="20"/>
          <w:lang w:val="en-US"/>
        </w:rPr>
        <w:t>.</w:t>
      </w:r>
      <w:r w:rsidR="002B51F1" w:rsidRPr="00D36A2C">
        <w:rPr>
          <w:rFonts w:cs="Arial"/>
          <w:sz w:val="20"/>
          <w:szCs w:val="20"/>
          <w:vertAlign w:val="superscript"/>
          <w:lang w:val="en-US"/>
        </w:rPr>
        <w:t xml:space="preserve"> </w:t>
      </w:r>
      <w:r w:rsidR="0061612C" w:rsidRPr="00D36A2C">
        <w:rPr>
          <w:rFonts w:cs="Arial"/>
          <w:sz w:val="20"/>
          <w:szCs w:val="20"/>
          <w:lang w:val="en-US"/>
        </w:rPr>
        <w:t xml:space="preserve">The demonstration study of ID </w:t>
      </w:r>
      <w:r w:rsidR="00E87CA3" w:rsidRPr="00D36A2C">
        <w:rPr>
          <w:rFonts w:cs="Arial"/>
          <w:sz w:val="20"/>
          <w:szCs w:val="20"/>
          <w:lang w:val="en-US"/>
        </w:rPr>
        <w:t>f</w:t>
      </w:r>
      <w:r w:rsidR="0061612C" w:rsidRPr="00D36A2C">
        <w:rPr>
          <w:rFonts w:cs="Arial"/>
          <w:sz w:val="20"/>
          <w:szCs w:val="20"/>
          <w:lang w:val="en-US"/>
        </w:rPr>
        <w:t xml:space="preserve">IPV </w:t>
      </w:r>
      <w:r w:rsidR="006B5315" w:rsidRPr="00D36A2C">
        <w:rPr>
          <w:rFonts w:cs="Arial"/>
          <w:sz w:val="20"/>
          <w:szCs w:val="20"/>
          <w:lang w:val="en-US"/>
        </w:rPr>
        <w:t xml:space="preserve">administration </w:t>
      </w:r>
      <w:r w:rsidR="008A1C11">
        <w:rPr>
          <w:rFonts w:cs="Arial"/>
          <w:sz w:val="20"/>
          <w:szCs w:val="20"/>
          <w:lang w:val="en-US"/>
        </w:rPr>
        <w:t>during SIA using two ID devices</w:t>
      </w:r>
      <w:r w:rsidR="006B5315" w:rsidRPr="00D36A2C">
        <w:rPr>
          <w:rFonts w:cs="Arial"/>
          <w:sz w:val="20"/>
          <w:szCs w:val="20"/>
          <w:lang w:val="en-US"/>
        </w:rPr>
        <w:t xml:space="preserve"> </w:t>
      </w:r>
      <w:r w:rsidR="00FC73E2">
        <w:rPr>
          <w:rFonts w:cs="Arial"/>
          <w:sz w:val="20"/>
          <w:szCs w:val="20"/>
          <w:lang w:val="en-US"/>
        </w:rPr>
        <w:t xml:space="preserve">(ID adaptor and Star syringe) </w:t>
      </w:r>
      <w:r w:rsidR="008A1C11">
        <w:rPr>
          <w:rFonts w:cs="Arial"/>
          <w:sz w:val="20"/>
          <w:szCs w:val="20"/>
          <w:lang w:val="en-US"/>
        </w:rPr>
        <w:t>was</w:t>
      </w:r>
      <w:r w:rsidR="006B5315" w:rsidRPr="00D36A2C">
        <w:rPr>
          <w:rFonts w:cs="Arial"/>
          <w:sz w:val="20"/>
          <w:szCs w:val="20"/>
          <w:lang w:val="en-US"/>
        </w:rPr>
        <w:t xml:space="preserve"> recently completed</w:t>
      </w:r>
      <w:r w:rsidR="0061612C" w:rsidRPr="00D36A2C">
        <w:rPr>
          <w:rFonts w:cs="Arial"/>
          <w:sz w:val="20"/>
          <w:szCs w:val="20"/>
          <w:lang w:val="en-US"/>
        </w:rPr>
        <w:t xml:space="preserve"> in Pakistan</w:t>
      </w:r>
      <w:r w:rsidR="00FC73E2">
        <w:rPr>
          <w:rFonts w:cs="Arial"/>
          <w:sz w:val="20"/>
          <w:szCs w:val="20"/>
          <w:lang w:val="en-US"/>
        </w:rPr>
        <w:t>.</w:t>
      </w:r>
    </w:p>
    <w:p w:rsidR="00D264BD" w:rsidRPr="00D36A2C" w:rsidRDefault="00D264BD" w:rsidP="00D264BD">
      <w:pPr>
        <w:snapToGrid w:val="0"/>
        <w:spacing w:after="0" w:line="360" w:lineRule="auto"/>
        <w:rPr>
          <w:rFonts w:cs="Arial"/>
          <w:sz w:val="20"/>
          <w:szCs w:val="20"/>
          <w:lang w:val="en-US"/>
        </w:rPr>
      </w:pPr>
    </w:p>
    <w:p w:rsidR="00C14F28" w:rsidRPr="00D36A2C" w:rsidRDefault="00F63563" w:rsidP="00F6356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b/>
          <w:bCs/>
          <w:sz w:val="20"/>
          <w:szCs w:val="20"/>
        </w:rPr>
      </w:pPr>
      <w:r w:rsidRPr="00D36A2C">
        <w:rPr>
          <w:rFonts w:asciiTheme="minorHAnsi" w:hAnsiTheme="minorHAnsi" w:cs="Arial"/>
          <w:b/>
          <w:bCs/>
          <w:sz w:val="20"/>
          <w:szCs w:val="20"/>
          <w:lang w:val="en-US"/>
        </w:rPr>
        <w:t>SPECIFIC REQUEST TO THE COUNTRIES</w:t>
      </w:r>
    </w:p>
    <w:p w:rsidR="002C33B7" w:rsidRPr="00D36A2C" w:rsidRDefault="002C33B7" w:rsidP="00D264B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sz w:val="20"/>
          <w:szCs w:val="20"/>
        </w:rPr>
      </w:pPr>
    </w:p>
    <w:p w:rsidR="00FC73E2" w:rsidRDefault="00D06A4A" w:rsidP="00EE56DA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="Arial"/>
          <w:sz w:val="20"/>
          <w:szCs w:val="20"/>
        </w:rPr>
      </w:pPr>
      <w:r w:rsidRPr="00D36A2C">
        <w:rPr>
          <w:rFonts w:asciiTheme="minorHAnsi" w:hAnsiTheme="minorHAnsi" w:cs="Arial"/>
          <w:sz w:val="20"/>
          <w:szCs w:val="20"/>
        </w:rPr>
        <w:t>The specific request to the countries is</w:t>
      </w:r>
      <w:r w:rsidR="00C14F28" w:rsidRPr="00D36A2C">
        <w:rPr>
          <w:rFonts w:asciiTheme="minorHAnsi" w:hAnsiTheme="minorHAnsi" w:cs="Arial"/>
          <w:sz w:val="20"/>
          <w:szCs w:val="20"/>
        </w:rPr>
        <w:t xml:space="preserve"> to </w:t>
      </w:r>
      <w:r w:rsidRPr="00D36A2C">
        <w:rPr>
          <w:rFonts w:asciiTheme="minorHAnsi" w:hAnsiTheme="minorHAnsi" w:cs="Arial"/>
          <w:sz w:val="20"/>
          <w:szCs w:val="20"/>
        </w:rPr>
        <w:t>consider</w:t>
      </w:r>
      <w:r w:rsidR="00FC73E2">
        <w:rPr>
          <w:rFonts w:asciiTheme="minorHAnsi" w:hAnsiTheme="minorHAnsi" w:cs="Arial"/>
          <w:sz w:val="20"/>
          <w:szCs w:val="20"/>
        </w:rPr>
        <w:t xml:space="preserve"> the use of ID fIPV dosing:</w:t>
      </w:r>
    </w:p>
    <w:p w:rsidR="00EE56DA" w:rsidRPr="00D36A2C" w:rsidRDefault="00EE56DA" w:rsidP="00EE56DA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="Arial"/>
          <w:sz w:val="20"/>
          <w:szCs w:val="20"/>
        </w:rPr>
      </w:pPr>
    </w:p>
    <w:p w:rsidR="009135C9" w:rsidRDefault="008A1C11" w:rsidP="001D670B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Routine immunization </w:t>
      </w:r>
      <w:r w:rsidR="00FC73E2">
        <w:rPr>
          <w:rFonts w:asciiTheme="minorHAnsi" w:hAnsiTheme="minorHAnsi" w:cs="Arial"/>
          <w:sz w:val="20"/>
          <w:szCs w:val="20"/>
        </w:rPr>
        <w:t>(primary series):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6B5315" w:rsidRPr="00D36A2C">
        <w:rPr>
          <w:rFonts w:asciiTheme="minorHAnsi" w:hAnsiTheme="minorHAnsi" w:cs="Arial"/>
          <w:sz w:val="20"/>
          <w:szCs w:val="20"/>
        </w:rPr>
        <w:t xml:space="preserve">administration of </w:t>
      </w:r>
      <w:r w:rsidR="00E87CA3" w:rsidRPr="00D36A2C">
        <w:rPr>
          <w:rFonts w:asciiTheme="minorHAnsi" w:hAnsiTheme="minorHAnsi" w:cs="Arial"/>
          <w:sz w:val="20"/>
          <w:szCs w:val="20"/>
        </w:rPr>
        <w:t xml:space="preserve">2 </w:t>
      </w:r>
      <w:r w:rsidR="00DB2A66" w:rsidRPr="00D36A2C">
        <w:rPr>
          <w:rFonts w:asciiTheme="minorHAnsi" w:hAnsiTheme="minorHAnsi" w:cs="Arial"/>
          <w:sz w:val="20"/>
          <w:szCs w:val="20"/>
        </w:rPr>
        <w:t xml:space="preserve">ID </w:t>
      </w:r>
      <w:r w:rsidR="001D670B" w:rsidRPr="00D36A2C">
        <w:rPr>
          <w:rFonts w:asciiTheme="minorHAnsi" w:hAnsiTheme="minorHAnsi" w:cs="Arial"/>
          <w:sz w:val="20"/>
          <w:szCs w:val="20"/>
        </w:rPr>
        <w:t>fIPV</w:t>
      </w:r>
      <w:r w:rsidR="001D670B">
        <w:rPr>
          <w:rFonts w:asciiTheme="minorHAnsi" w:hAnsiTheme="minorHAnsi" w:cs="Arial"/>
          <w:sz w:val="20"/>
          <w:szCs w:val="20"/>
        </w:rPr>
        <w:t xml:space="preserve"> doses </w:t>
      </w:r>
      <w:r w:rsidR="004B7377" w:rsidRPr="00D36A2C">
        <w:rPr>
          <w:rFonts w:asciiTheme="minorHAnsi" w:hAnsiTheme="minorHAnsi" w:cs="Arial"/>
          <w:sz w:val="20"/>
          <w:szCs w:val="20"/>
        </w:rPr>
        <w:t xml:space="preserve">as an alternative to </w:t>
      </w:r>
      <w:r w:rsidR="001D670B">
        <w:rPr>
          <w:rFonts w:asciiTheme="minorHAnsi" w:hAnsiTheme="minorHAnsi" w:cs="Arial"/>
          <w:sz w:val="20"/>
          <w:szCs w:val="20"/>
        </w:rPr>
        <w:t>a single</w:t>
      </w:r>
      <w:r w:rsidR="00E87CA3" w:rsidRPr="00D36A2C">
        <w:rPr>
          <w:rFonts w:asciiTheme="minorHAnsi" w:hAnsiTheme="minorHAnsi" w:cs="Arial"/>
          <w:sz w:val="20"/>
          <w:szCs w:val="20"/>
        </w:rPr>
        <w:t xml:space="preserve"> </w:t>
      </w:r>
      <w:r w:rsidR="004B7377" w:rsidRPr="00D36A2C">
        <w:rPr>
          <w:rFonts w:asciiTheme="minorHAnsi" w:hAnsiTheme="minorHAnsi" w:cs="Arial"/>
          <w:sz w:val="20"/>
          <w:szCs w:val="20"/>
        </w:rPr>
        <w:t>IM IPV</w:t>
      </w:r>
      <w:r w:rsidR="001D670B">
        <w:rPr>
          <w:rFonts w:asciiTheme="minorHAnsi" w:hAnsiTheme="minorHAnsi" w:cs="Arial"/>
          <w:sz w:val="20"/>
          <w:szCs w:val="20"/>
        </w:rPr>
        <w:t xml:space="preserve"> dose. This would be</w:t>
      </w:r>
      <w:r w:rsidR="004B7377" w:rsidRPr="00D36A2C">
        <w:rPr>
          <w:rFonts w:asciiTheme="minorHAnsi" w:hAnsiTheme="minorHAnsi" w:cs="Arial"/>
          <w:sz w:val="20"/>
          <w:szCs w:val="20"/>
        </w:rPr>
        <w:t xml:space="preserve"> </w:t>
      </w:r>
      <w:r w:rsidR="00807EBC" w:rsidRPr="00D36A2C">
        <w:rPr>
          <w:rFonts w:asciiTheme="minorHAnsi" w:hAnsiTheme="minorHAnsi" w:cs="Arial"/>
          <w:sz w:val="20"/>
          <w:szCs w:val="20"/>
        </w:rPr>
        <w:t>as off-label use</w:t>
      </w:r>
      <w:r w:rsidR="001D670B">
        <w:rPr>
          <w:rFonts w:asciiTheme="minorHAnsi" w:hAnsiTheme="minorHAnsi" w:cs="Arial"/>
          <w:sz w:val="20"/>
          <w:szCs w:val="20"/>
        </w:rPr>
        <w:t xml:space="preserve">. This consideration would be </w:t>
      </w:r>
      <w:r w:rsidR="006B5315" w:rsidRPr="00D36A2C">
        <w:rPr>
          <w:rFonts w:asciiTheme="minorHAnsi" w:hAnsiTheme="minorHAnsi" w:cs="Arial"/>
          <w:sz w:val="20"/>
          <w:szCs w:val="20"/>
        </w:rPr>
        <w:t xml:space="preserve">particularly </w:t>
      </w:r>
      <w:r w:rsidR="001D670B">
        <w:rPr>
          <w:rFonts w:asciiTheme="minorHAnsi" w:hAnsiTheme="minorHAnsi" w:cs="Arial"/>
          <w:sz w:val="20"/>
          <w:szCs w:val="20"/>
        </w:rPr>
        <w:t>relevant for</w:t>
      </w:r>
      <w:r w:rsidR="001D670B" w:rsidRPr="00D36A2C">
        <w:rPr>
          <w:rFonts w:asciiTheme="minorHAnsi" w:hAnsiTheme="minorHAnsi" w:cs="Arial"/>
          <w:sz w:val="20"/>
          <w:szCs w:val="20"/>
        </w:rPr>
        <w:t xml:space="preserve"> </w:t>
      </w:r>
      <w:r w:rsidR="006B5315" w:rsidRPr="00D36A2C">
        <w:rPr>
          <w:rFonts w:asciiTheme="minorHAnsi" w:hAnsiTheme="minorHAnsi" w:cs="Arial"/>
          <w:sz w:val="20"/>
          <w:szCs w:val="20"/>
        </w:rPr>
        <w:t>c</w:t>
      </w:r>
      <w:r w:rsidR="009F234D" w:rsidRPr="00D36A2C">
        <w:rPr>
          <w:rFonts w:asciiTheme="minorHAnsi" w:hAnsiTheme="minorHAnsi" w:cs="Arial"/>
          <w:sz w:val="20"/>
          <w:szCs w:val="20"/>
        </w:rPr>
        <w:t>ountries</w:t>
      </w:r>
      <w:r w:rsidR="00B3619C" w:rsidRPr="00D36A2C">
        <w:rPr>
          <w:rFonts w:asciiTheme="minorHAnsi" w:hAnsiTheme="minorHAnsi" w:cs="Arial"/>
          <w:sz w:val="20"/>
          <w:szCs w:val="20"/>
        </w:rPr>
        <w:t xml:space="preserve"> with strong routine immunization program (e.g. DTP3 </w:t>
      </w:r>
      <w:r w:rsidRPr="00D36A2C">
        <w:rPr>
          <w:rFonts w:asciiTheme="minorHAnsi" w:hAnsiTheme="minorHAnsi" w:cs="Arial"/>
          <w:sz w:val="20"/>
          <w:szCs w:val="20"/>
        </w:rPr>
        <w:t>coverage</w:t>
      </w:r>
      <w:r>
        <w:rPr>
          <w:rFonts w:asciiTheme="minorHAnsi" w:hAnsiTheme="minorHAnsi" w:cs="Arial"/>
          <w:sz w:val="20"/>
          <w:szCs w:val="20"/>
        </w:rPr>
        <w:t xml:space="preserve"> ≥90%</w:t>
      </w:r>
      <w:r w:rsidR="00B3619C" w:rsidRPr="00D36A2C">
        <w:rPr>
          <w:rFonts w:asciiTheme="minorHAnsi" w:hAnsiTheme="minorHAnsi" w:cs="Arial"/>
          <w:sz w:val="20"/>
          <w:szCs w:val="20"/>
        </w:rPr>
        <w:t>)</w:t>
      </w:r>
      <w:r w:rsidR="006B5315" w:rsidRPr="00D36A2C">
        <w:rPr>
          <w:rFonts w:asciiTheme="minorHAnsi" w:hAnsiTheme="minorHAnsi" w:cs="Arial"/>
          <w:sz w:val="20"/>
          <w:szCs w:val="20"/>
        </w:rPr>
        <w:t xml:space="preserve">. </w:t>
      </w:r>
      <w:r w:rsidR="009F234D" w:rsidRPr="00D36A2C">
        <w:rPr>
          <w:rFonts w:asciiTheme="minorHAnsi" w:hAnsiTheme="minorHAnsi" w:cs="Arial"/>
          <w:sz w:val="20"/>
          <w:szCs w:val="20"/>
        </w:rPr>
        <w:t xml:space="preserve">A </w:t>
      </w:r>
      <w:r w:rsidR="00DB2A66" w:rsidRPr="00D36A2C">
        <w:rPr>
          <w:rFonts w:asciiTheme="minorHAnsi" w:hAnsiTheme="minorHAnsi" w:cs="Arial"/>
          <w:sz w:val="20"/>
          <w:szCs w:val="20"/>
        </w:rPr>
        <w:t>schedule of</w:t>
      </w:r>
      <w:r w:rsidR="009F234D" w:rsidRPr="00D36A2C">
        <w:rPr>
          <w:rFonts w:asciiTheme="minorHAnsi" w:hAnsiTheme="minorHAnsi" w:cs="Arial"/>
          <w:sz w:val="20"/>
          <w:szCs w:val="20"/>
        </w:rPr>
        <w:t xml:space="preserve"> early fIPV administration at </w:t>
      </w:r>
      <w:r w:rsidR="00DB2A66" w:rsidRPr="00D36A2C">
        <w:rPr>
          <w:rFonts w:asciiTheme="minorHAnsi" w:hAnsiTheme="minorHAnsi" w:cs="Arial"/>
          <w:sz w:val="20"/>
          <w:szCs w:val="20"/>
        </w:rPr>
        <w:t xml:space="preserve">6 </w:t>
      </w:r>
      <w:r w:rsidR="009F234D" w:rsidRPr="00D36A2C">
        <w:rPr>
          <w:rFonts w:asciiTheme="minorHAnsi" w:hAnsiTheme="minorHAnsi" w:cs="Arial"/>
          <w:sz w:val="20"/>
          <w:szCs w:val="20"/>
        </w:rPr>
        <w:t xml:space="preserve">and 14 weeks </w:t>
      </w:r>
      <w:r w:rsidR="001D670B">
        <w:rPr>
          <w:rFonts w:asciiTheme="minorHAnsi" w:hAnsiTheme="minorHAnsi" w:cs="Arial"/>
          <w:sz w:val="20"/>
          <w:szCs w:val="20"/>
        </w:rPr>
        <w:t xml:space="preserve">could </w:t>
      </w:r>
      <w:r w:rsidR="009F234D" w:rsidRPr="00D36A2C">
        <w:rPr>
          <w:rFonts w:asciiTheme="minorHAnsi" w:hAnsiTheme="minorHAnsi" w:cs="Arial"/>
          <w:sz w:val="20"/>
          <w:szCs w:val="20"/>
        </w:rPr>
        <w:t xml:space="preserve">be considered, to ensure early protection of infants and reduce dropout rate. </w:t>
      </w:r>
    </w:p>
    <w:p w:rsidR="001D670B" w:rsidRPr="00D36A2C" w:rsidRDefault="001D670B" w:rsidP="001D670B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="Arial"/>
          <w:sz w:val="20"/>
          <w:szCs w:val="20"/>
        </w:rPr>
      </w:pPr>
    </w:p>
    <w:p w:rsidR="00C04460" w:rsidRDefault="00EE56DA" w:rsidP="001D670B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="Arial"/>
          <w:sz w:val="20"/>
          <w:szCs w:val="20"/>
        </w:rPr>
      </w:pPr>
      <w:r w:rsidRPr="00D36A2C">
        <w:rPr>
          <w:rFonts w:asciiTheme="minorHAnsi" w:hAnsiTheme="minorHAnsi" w:cs="Arial"/>
          <w:sz w:val="20"/>
          <w:szCs w:val="20"/>
        </w:rPr>
        <w:t xml:space="preserve">Outbreak response </w:t>
      </w:r>
      <w:r w:rsidR="001D670B">
        <w:rPr>
          <w:rFonts w:asciiTheme="minorHAnsi" w:hAnsiTheme="minorHAnsi" w:cs="Arial"/>
          <w:sz w:val="20"/>
          <w:szCs w:val="20"/>
        </w:rPr>
        <w:t xml:space="preserve">(booster dose): administration of </w:t>
      </w:r>
      <w:r w:rsidR="004B7377" w:rsidRPr="00D36A2C">
        <w:rPr>
          <w:rFonts w:asciiTheme="minorHAnsi" w:hAnsiTheme="minorHAnsi" w:cs="Arial"/>
          <w:sz w:val="20"/>
          <w:szCs w:val="20"/>
        </w:rPr>
        <w:t xml:space="preserve">ID fIPV in </w:t>
      </w:r>
      <w:r w:rsidR="009135C9" w:rsidRPr="00D36A2C">
        <w:rPr>
          <w:rFonts w:asciiTheme="minorHAnsi" w:hAnsiTheme="minorHAnsi" w:cs="Arial"/>
          <w:sz w:val="20"/>
          <w:szCs w:val="20"/>
        </w:rPr>
        <w:t xml:space="preserve">cVDPV2 </w:t>
      </w:r>
      <w:r w:rsidR="004B7377" w:rsidRPr="00D36A2C">
        <w:rPr>
          <w:rFonts w:asciiTheme="minorHAnsi" w:hAnsiTheme="minorHAnsi" w:cs="Arial"/>
          <w:sz w:val="20"/>
          <w:szCs w:val="20"/>
        </w:rPr>
        <w:t>outbreak</w:t>
      </w:r>
      <w:r w:rsidR="009135C9" w:rsidRPr="00D36A2C">
        <w:rPr>
          <w:rFonts w:asciiTheme="minorHAnsi" w:hAnsiTheme="minorHAnsi" w:cs="Arial"/>
          <w:sz w:val="20"/>
          <w:szCs w:val="20"/>
        </w:rPr>
        <w:t>s</w:t>
      </w:r>
      <w:r w:rsidR="004B7377" w:rsidRPr="00D36A2C">
        <w:rPr>
          <w:rFonts w:asciiTheme="minorHAnsi" w:hAnsiTheme="minorHAnsi" w:cs="Arial"/>
          <w:sz w:val="20"/>
          <w:szCs w:val="20"/>
        </w:rPr>
        <w:t xml:space="preserve"> </w:t>
      </w:r>
      <w:r w:rsidR="00E87CA3" w:rsidRPr="00D36A2C">
        <w:rPr>
          <w:rFonts w:asciiTheme="minorHAnsi" w:hAnsiTheme="minorHAnsi" w:cs="Arial"/>
          <w:sz w:val="20"/>
          <w:szCs w:val="20"/>
        </w:rPr>
        <w:t>in addition to mOPV2</w:t>
      </w:r>
      <w:r w:rsidR="00C04460">
        <w:rPr>
          <w:rFonts w:asciiTheme="minorHAnsi" w:hAnsiTheme="minorHAnsi" w:cs="Arial"/>
          <w:sz w:val="20"/>
          <w:szCs w:val="20"/>
        </w:rPr>
        <w:t xml:space="preserve"> as outlined in cVDPV2 outbreak response protocols.</w:t>
      </w:r>
    </w:p>
    <w:p w:rsidR="00B73AF2" w:rsidRPr="00D36A2C" w:rsidRDefault="00B73AF2" w:rsidP="003D73E8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/>
          <w:sz w:val="20"/>
          <w:szCs w:val="20"/>
        </w:rPr>
      </w:pPr>
    </w:p>
    <w:p w:rsidR="00B73AF2" w:rsidRPr="00D36A2C" w:rsidRDefault="00B73AF2" w:rsidP="003D73E8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/>
          <w:sz w:val="20"/>
          <w:szCs w:val="20"/>
        </w:rPr>
      </w:pPr>
    </w:p>
    <w:p w:rsidR="00B73AF2" w:rsidRPr="00D36A2C" w:rsidRDefault="00B73AF2" w:rsidP="003D73E8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="Arial"/>
          <w:sz w:val="20"/>
          <w:szCs w:val="20"/>
        </w:rPr>
      </w:pPr>
    </w:p>
    <w:p w:rsidR="009055F8" w:rsidRPr="002E1603" w:rsidRDefault="009055F8" w:rsidP="00711604">
      <w:pPr>
        <w:rPr>
          <w:rFonts w:cs="Arial"/>
          <w:sz w:val="20"/>
          <w:szCs w:val="20"/>
          <w:lang w:val="en-US"/>
        </w:rPr>
        <w:sectPr w:rsidR="009055F8" w:rsidRPr="002E1603" w:rsidSect="009055F8"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p w:rsidR="007D0305" w:rsidRPr="00BC12DB" w:rsidRDefault="007D0305" w:rsidP="0071773E">
      <w:pPr>
        <w:pStyle w:val="NormalWeb"/>
        <w:spacing w:before="0" w:beforeAutospacing="0" w:after="0" w:afterAutospacing="0"/>
        <w:rPr>
          <w:rFonts w:asciiTheme="minorHAnsi" w:hAnsiTheme="minorHAnsi" w:cs="Segoe UI"/>
          <w:b/>
          <w:bCs/>
          <w:sz w:val="20"/>
          <w:szCs w:val="20"/>
        </w:rPr>
      </w:pPr>
      <w:r w:rsidRPr="00BC12DB">
        <w:rPr>
          <w:rFonts w:asciiTheme="minorHAnsi" w:hAnsiTheme="minorHAnsi" w:cs="Segoe UI"/>
          <w:b/>
          <w:bCs/>
          <w:sz w:val="20"/>
          <w:szCs w:val="20"/>
        </w:rPr>
        <w:lastRenderedPageBreak/>
        <w:t xml:space="preserve">Table 1: Comparison of two fractional doses of IPV </w:t>
      </w:r>
      <w:r w:rsidR="0071773E">
        <w:rPr>
          <w:rFonts w:asciiTheme="minorHAnsi" w:hAnsiTheme="minorHAnsi" w:cs="Segoe UI"/>
          <w:b/>
          <w:bCs/>
          <w:sz w:val="20"/>
          <w:szCs w:val="20"/>
        </w:rPr>
        <w:t>with</w:t>
      </w:r>
      <w:r w:rsidRPr="00BC12DB">
        <w:rPr>
          <w:rFonts w:asciiTheme="minorHAnsi" w:hAnsiTheme="minorHAnsi" w:cs="Segoe UI"/>
          <w:b/>
          <w:bCs/>
          <w:sz w:val="20"/>
          <w:szCs w:val="20"/>
        </w:rPr>
        <w:t xml:space="preserve"> one full dose IPV</w:t>
      </w:r>
    </w:p>
    <w:tbl>
      <w:tblPr>
        <w:tblStyle w:val="TableGrid9"/>
        <w:tblpPr w:leftFromText="180" w:rightFromText="180" w:vertAnchor="page" w:horzAnchor="margin" w:tblpY="1486"/>
        <w:tblW w:w="13668" w:type="dxa"/>
        <w:tblLook w:val="04A0" w:firstRow="1" w:lastRow="0" w:firstColumn="1" w:lastColumn="0" w:noHBand="0" w:noVBand="1"/>
      </w:tblPr>
      <w:tblGrid>
        <w:gridCol w:w="2376"/>
        <w:gridCol w:w="1843"/>
        <w:gridCol w:w="1276"/>
        <w:gridCol w:w="1134"/>
        <w:gridCol w:w="1559"/>
        <w:gridCol w:w="1276"/>
        <w:gridCol w:w="1276"/>
        <w:gridCol w:w="1275"/>
        <w:gridCol w:w="1653"/>
      </w:tblGrid>
      <w:tr w:rsidR="007D0305" w:rsidRPr="007D0305" w:rsidTr="007D0305">
        <w:trPr>
          <w:trHeight w:val="300"/>
        </w:trPr>
        <w:tc>
          <w:tcPr>
            <w:tcW w:w="2376" w:type="dxa"/>
            <w:vMerge w:val="restart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Publication (Year)</w:t>
            </w:r>
          </w:p>
        </w:tc>
        <w:tc>
          <w:tcPr>
            <w:tcW w:w="1843" w:type="dxa"/>
            <w:vMerge w:val="restart"/>
            <w:noWrap/>
            <w:hideMark/>
          </w:tcPr>
          <w:p w:rsidR="007D0305" w:rsidRPr="007D0305" w:rsidRDefault="00AE0543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Country (IPV V</w:t>
            </w:r>
            <w:r w:rsidR="007D0305" w:rsidRPr="007D0305">
              <w:rPr>
                <w:color w:val="000000"/>
                <w:sz w:val="20"/>
                <w:szCs w:val="20"/>
              </w:rPr>
              <w:t>accine Supplier)</w:t>
            </w:r>
          </w:p>
        </w:tc>
        <w:tc>
          <w:tcPr>
            <w:tcW w:w="2410" w:type="dxa"/>
            <w:gridSpan w:val="2"/>
            <w:noWrap/>
            <w:hideMark/>
          </w:tcPr>
          <w:p w:rsidR="007D0305" w:rsidRPr="007D0305" w:rsidRDefault="007D0305" w:rsidP="007D0305">
            <w:pPr>
              <w:jc w:val="center"/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Schedule</w:t>
            </w:r>
          </w:p>
        </w:tc>
        <w:tc>
          <w:tcPr>
            <w:tcW w:w="7039" w:type="dxa"/>
            <w:gridSpan w:val="5"/>
            <w:noWrap/>
            <w:hideMark/>
          </w:tcPr>
          <w:p w:rsidR="007D0305" w:rsidRPr="007D0305" w:rsidRDefault="007D0305" w:rsidP="007D0305">
            <w:pPr>
              <w:jc w:val="center"/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Immunity to type 2 poliovirus, after 2 fractional-doses or 1 full dose</w:t>
            </w:r>
          </w:p>
        </w:tc>
      </w:tr>
      <w:tr w:rsidR="007D0305" w:rsidRPr="007D0305" w:rsidTr="007D0305">
        <w:trPr>
          <w:trHeight w:val="300"/>
        </w:trPr>
        <w:tc>
          <w:tcPr>
            <w:tcW w:w="2376" w:type="dxa"/>
            <w:vMerge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2 fractional doses</w:t>
            </w:r>
          </w:p>
        </w:tc>
        <w:tc>
          <w:tcPr>
            <w:tcW w:w="1134" w:type="dxa"/>
            <w:vMerge w:val="restart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1 full dose</w:t>
            </w:r>
          </w:p>
        </w:tc>
        <w:tc>
          <w:tcPr>
            <w:tcW w:w="2835" w:type="dxa"/>
            <w:gridSpan w:val="2"/>
            <w:noWrap/>
            <w:hideMark/>
          </w:tcPr>
          <w:p w:rsidR="007D0305" w:rsidRPr="007D0305" w:rsidRDefault="007D0305" w:rsidP="007D0305">
            <w:pPr>
              <w:jc w:val="center"/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Seroconversion (%)</w:t>
            </w:r>
          </w:p>
        </w:tc>
        <w:tc>
          <w:tcPr>
            <w:tcW w:w="2551" w:type="dxa"/>
            <w:gridSpan w:val="2"/>
            <w:noWrap/>
            <w:hideMark/>
          </w:tcPr>
          <w:p w:rsidR="007D0305" w:rsidRPr="007D0305" w:rsidRDefault="007D0305" w:rsidP="007D0305">
            <w:pPr>
              <w:jc w:val="center"/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Median Antibody Titers (MAT)</w:t>
            </w:r>
          </w:p>
        </w:tc>
        <w:tc>
          <w:tcPr>
            <w:tcW w:w="1653" w:type="dxa"/>
            <w:vMerge w:val="restart"/>
            <w:noWrap/>
            <w:hideMark/>
          </w:tcPr>
          <w:p w:rsidR="007D0305" w:rsidRPr="007D0305" w:rsidRDefault="007D0305" w:rsidP="007D0305">
            <w:pPr>
              <w:jc w:val="center"/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 xml:space="preserve">Fold increase in MAT* </w:t>
            </w:r>
          </w:p>
        </w:tc>
      </w:tr>
      <w:tr w:rsidR="007D0305" w:rsidRPr="007D0305" w:rsidTr="007D0305">
        <w:trPr>
          <w:trHeight w:val="300"/>
        </w:trPr>
        <w:tc>
          <w:tcPr>
            <w:tcW w:w="2376" w:type="dxa"/>
            <w:vMerge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noWrap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2 fractional-doses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 xml:space="preserve">1 full-dose 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2 fractional-doses</w:t>
            </w:r>
          </w:p>
        </w:tc>
        <w:tc>
          <w:tcPr>
            <w:tcW w:w="1275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1 full-dose</w:t>
            </w:r>
          </w:p>
        </w:tc>
        <w:tc>
          <w:tcPr>
            <w:tcW w:w="1653" w:type="dxa"/>
            <w:vMerge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</w:p>
        </w:tc>
      </w:tr>
      <w:tr w:rsidR="007D0305" w:rsidRPr="007D0305" w:rsidTr="007D0305">
        <w:trPr>
          <w:trHeight w:val="300"/>
        </w:trPr>
        <w:tc>
          <w:tcPr>
            <w:tcW w:w="2376" w:type="dxa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Resik S et al. The Journal of Infectious Diseases (2010).</w:t>
            </w:r>
          </w:p>
        </w:tc>
        <w:tc>
          <w:tcPr>
            <w:tcW w:w="1843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Cuba (</w:t>
            </w:r>
            <w:proofErr w:type="spellStart"/>
            <w:r w:rsidRPr="007D0305">
              <w:rPr>
                <w:sz w:val="20"/>
                <w:szCs w:val="20"/>
              </w:rPr>
              <w:t>Statens</w:t>
            </w:r>
            <w:proofErr w:type="spellEnd"/>
            <w:r w:rsidRPr="007D0305">
              <w:rPr>
                <w:sz w:val="20"/>
                <w:szCs w:val="20"/>
              </w:rPr>
              <w:t xml:space="preserve"> Serum Institute)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6, 10 weeks</w:t>
            </w:r>
          </w:p>
        </w:tc>
        <w:tc>
          <w:tcPr>
            <w:tcW w:w="1134" w:type="dxa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6 weeks</w:t>
            </w:r>
          </w:p>
        </w:tc>
        <w:tc>
          <w:tcPr>
            <w:tcW w:w="1559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5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53" w:type="dxa"/>
            <w:noWrap/>
            <w:hideMark/>
          </w:tcPr>
          <w:p w:rsidR="007D0305" w:rsidRPr="007D0305" w:rsidRDefault="00CA6036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</w:t>
            </w:r>
          </w:p>
        </w:tc>
      </w:tr>
      <w:tr w:rsidR="007D0305" w:rsidRPr="007D0305" w:rsidTr="007D0305">
        <w:trPr>
          <w:trHeight w:val="300"/>
        </w:trPr>
        <w:tc>
          <w:tcPr>
            <w:tcW w:w="2376" w:type="dxa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Mohammed AJ et al. The New England Journal of Medicine (2010).</w:t>
            </w:r>
          </w:p>
        </w:tc>
        <w:tc>
          <w:tcPr>
            <w:tcW w:w="1843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Oman (GlaxoSmithKline)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2, 4 months</w:t>
            </w:r>
          </w:p>
        </w:tc>
        <w:tc>
          <w:tcPr>
            <w:tcW w:w="1134" w:type="dxa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2 months</w:t>
            </w:r>
          </w:p>
        </w:tc>
        <w:tc>
          <w:tcPr>
            <w:tcW w:w="1559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275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653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7D0305" w:rsidRPr="007D0305" w:rsidTr="007D0305">
        <w:trPr>
          <w:trHeight w:val="300"/>
        </w:trPr>
        <w:tc>
          <w:tcPr>
            <w:tcW w:w="2376" w:type="dxa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Resik S et al. The New England Journal of Medicine (2013).</w:t>
            </w:r>
          </w:p>
        </w:tc>
        <w:tc>
          <w:tcPr>
            <w:tcW w:w="1843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 xml:space="preserve">Cuba </w:t>
            </w:r>
            <w:r w:rsidRPr="007D0305">
              <w:rPr>
                <w:sz w:val="20"/>
                <w:szCs w:val="20"/>
              </w:rPr>
              <w:t>(Netherlands Vaccine Institute)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4, 8 months</w:t>
            </w:r>
          </w:p>
        </w:tc>
        <w:tc>
          <w:tcPr>
            <w:tcW w:w="1134" w:type="dxa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4 months</w:t>
            </w:r>
          </w:p>
        </w:tc>
        <w:tc>
          <w:tcPr>
            <w:tcW w:w="1559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898</w:t>
            </w:r>
          </w:p>
        </w:tc>
        <w:tc>
          <w:tcPr>
            <w:tcW w:w="1275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653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</w:tr>
      <w:tr w:rsidR="007D0305" w:rsidRPr="007D0305" w:rsidTr="007D0305">
        <w:trPr>
          <w:trHeight w:val="300"/>
        </w:trPr>
        <w:tc>
          <w:tcPr>
            <w:tcW w:w="2376" w:type="dxa"/>
          </w:tcPr>
          <w:p w:rsidR="007D0305" w:rsidRPr="007D0305" w:rsidRDefault="007D0305" w:rsidP="007D0305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Anand A et al. Vaccine (2015)</w:t>
            </w:r>
          </w:p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 xml:space="preserve">Bangladesh </w:t>
            </w:r>
            <w:r w:rsidRPr="007D0305">
              <w:rPr>
                <w:sz w:val="20"/>
                <w:szCs w:val="20"/>
              </w:rPr>
              <w:t>(Netherlands Vaccine Institute)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6, 14 weeks</w:t>
            </w:r>
          </w:p>
        </w:tc>
        <w:tc>
          <w:tcPr>
            <w:tcW w:w="1134" w:type="dxa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6 weeks</w:t>
            </w:r>
          </w:p>
        </w:tc>
        <w:tc>
          <w:tcPr>
            <w:tcW w:w="1559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445</w:t>
            </w:r>
          </w:p>
        </w:tc>
        <w:tc>
          <w:tcPr>
            <w:tcW w:w="1275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653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7D0305" w:rsidRPr="007D0305" w:rsidTr="007D0305">
        <w:trPr>
          <w:trHeight w:val="300"/>
        </w:trPr>
        <w:tc>
          <w:tcPr>
            <w:tcW w:w="2376" w:type="dxa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Anand A et al. (Unpublished)</w:t>
            </w:r>
          </w:p>
        </w:tc>
        <w:tc>
          <w:tcPr>
            <w:tcW w:w="1843" w:type="dxa"/>
          </w:tcPr>
          <w:p w:rsidR="007D0305" w:rsidRPr="007D0305" w:rsidRDefault="007D0305" w:rsidP="00AE0543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Bangladesh</w:t>
            </w:r>
            <w:r w:rsidR="00345540">
              <w:rPr>
                <w:color w:val="000000"/>
                <w:sz w:val="20"/>
                <w:szCs w:val="20"/>
              </w:rPr>
              <w:t xml:space="preserve"> (Bilthoven Biologicals)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1134" w:type="dxa"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14 weeks</w:t>
            </w:r>
          </w:p>
        </w:tc>
        <w:tc>
          <w:tcPr>
            <w:tcW w:w="1559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276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1275" w:type="dxa"/>
            <w:noWrap/>
            <w:hideMark/>
          </w:tcPr>
          <w:p w:rsidR="007D0305" w:rsidRPr="007D0305" w:rsidRDefault="007D0305" w:rsidP="007D0305">
            <w:pPr>
              <w:rPr>
                <w:color w:val="000000"/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653" w:type="dxa"/>
            <w:noWrap/>
            <w:hideMark/>
          </w:tcPr>
          <w:p w:rsidR="007D0305" w:rsidRPr="007D0305" w:rsidRDefault="003C0749" w:rsidP="007D0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7D0305" w:rsidRPr="007D0305">
              <w:rPr>
                <w:color w:val="000000"/>
                <w:sz w:val="20"/>
                <w:szCs w:val="20"/>
              </w:rPr>
              <w:t>§</w:t>
            </w:r>
          </w:p>
        </w:tc>
      </w:tr>
    </w:tbl>
    <w:p w:rsidR="007D0305" w:rsidRDefault="007D0305" w:rsidP="00BB6097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*Between one full dose IPV</w:t>
      </w:r>
      <w:r w:rsidR="00BB6097">
        <w:rPr>
          <w:rFonts w:eastAsia="Times New Roman"/>
          <w:color w:val="000000"/>
          <w:sz w:val="20"/>
          <w:szCs w:val="20"/>
        </w:rPr>
        <w:t xml:space="preserve"> and two fractional doses of IPV </w:t>
      </w:r>
    </w:p>
    <w:p w:rsidR="007D0305" w:rsidRDefault="007D0305" w:rsidP="007D0305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 w:rsidRPr="00B236F1">
        <w:rPr>
          <w:rFonts w:eastAsia="Times New Roman"/>
          <w:color w:val="000000"/>
          <w:sz w:val="20"/>
          <w:szCs w:val="20"/>
        </w:rPr>
        <w:t>§When compared with MAT for 2 fIPV doses in earlier Bangladesh study</w:t>
      </w: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0A550F" w:rsidRDefault="007D0305" w:rsidP="0071773E">
      <w:pPr>
        <w:pStyle w:val="NormalWeb"/>
        <w:spacing w:before="0" w:beforeAutospacing="0" w:after="0" w:afterAutospacing="0"/>
        <w:rPr>
          <w:rFonts w:asciiTheme="minorHAnsi" w:hAnsiTheme="minorHAnsi" w:cs="Segoe UI"/>
          <w:b/>
          <w:bCs/>
          <w:sz w:val="20"/>
          <w:szCs w:val="20"/>
        </w:rPr>
      </w:pPr>
      <w:r w:rsidRPr="007D0305">
        <w:rPr>
          <w:rFonts w:asciiTheme="minorHAnsi" w:hAnsiTheme="minorHAnsi" w:cs="Segoe UI"/>
          <w:b/>
          <w:bCs/>
          <w:sz w:val="20"/>
          <w:szCs w:val="20"/>
        </w:rPr>
        <w:t xml:space="preserve">Table 2: </w:t>
      </w:r>
      <w:r w:rsidRPr="007D0305">
        <w:rPr>
          <w:rFonts w:asciiTheme="minorHAnsi" w:hAnsiTheme="minorHAnsi"/>
          <w:b/>
          <w:bCs/>
          <w:sz w:val="20"/>
          <w:szCs w:val="20"/>
        </w:rPr>
        <w:t>Comparison of one f</w:t>
      </w:r>
      <w:r w:rsidR="0071773E">
        <w:rPr>
          <w:rFonts w:asciiTheme="minorHAnsi" w:hAnsiTheme="minorHAnsi"/>
          <w:b/>
          <w:bCs/>
          <w:sz w:val="20"/>
          <w:szCs w:val="20"/>
        </w:rPr>
        <w:t xml:space="preserve">ractional </w:t>
      </w:r>
      <w:r w:rsidRPr="007D0305">
        <w:rPr>
          <w:rFonts w:asciiTheme="minorHAnsi" w:hAnsiTheme="minorHAnsi"/>
          <w:b/>
          <w:bCs/>
          <w:sz w:val="20"/>
          <w:szCs w:val="20"/>
        </w:rPr>
        <w:t xml:space="preserve">IPV dose </w:t>
      </w:r>
      <w:r w:rsidR="0071773E">
        <w:rPr>
          <w:rFonts w:asciiTheme="minorHAnsi" w:hAnsiTheme="minorHAnsi"/>
          <w:b/>
          <w:bCs/>
          <w:sz w:val="20"/>
          <w:szCs w:val="20"/>
        </w:rPr>
        <w:t>with</w:t>
      </w:r>
      <w:r w:rsidRPr="007D0305">
        <w:rPr>
          <w:rFonts w:asciiTheme="minorHAnsi" w:hAnsiTheme="minorHAnsi"/>
          <w:b/>
          <w:bCs/>
          <w:sz w:val="20"/>
          <w:szCs w:val="20"/>
        </w:rPr>
        <w:t xml:space="preserve"> one full IPV dose</w:t>
      </w:r>
    </w:p>
    <w:p w:rsidR="000A550F" w:rsidRPr="000A550F" w:rsidRDefault="000A550F" w:rsidP="000A550F">
      <w:pPr>
        <w:pStyle w:val="NormalWeb"/>
        <w:spacing w:before="0" w:beforeAutospacing="0" w:after="0" w:afterAutospacing="0"/>
        <w:rPr>
          <w:rFonts w:asciiTheme="minorHAnsi" w:hAnsiTheme="minorHAnsi" w:cs="Segoe UI"/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text" w:tblpY="-29"/>
        <w:tblW w:w="14142" w:type="dxa"/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992"/>
        <w:gridCol w:w="1134"/>
        <w:gridCol w:w="1438"/>
        <w:gridCol w:w="972"/>
        <w:gridCol w:w="1304"/>
        <w:gridCol w:w="822"/>
        <w:gridCol w:w="1276"/>
        <w:gridCol w:w="1003"/>
        <w:gridCol w:w="1407"/>
      </w:tblGrid>
      <w:tr w:rsidR="000A550F" w:rsidTr="0013519B">
        <w:trPr>
          <w:trHeight w:val="274"/>
        </w:trPr>
        <w:tc>
          <w:tcPr>
            <w:tcW w:w="2093" w:type="dxa"/>
            <w:vMerge w:val="restart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Publication (Year)</w:t>
            </w:r>
          </w:p>
        </w:tc>
        <w:tc>
          <w:tcPr>
            <w:tcW w:w="1701" w:type="dxa"/>
            <w:vMerge w:val="restart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Country (</w:t>
            </w:r>
            <w:r w:rsidR="00AE0543">
              <w:rPr>
                <w:sz w:val="20"/>
                <w:szCs w:val="20"/>
              </w:rPr>
              <w:t xml:space="preserve">IPV </w:t>
            </w:r>
            <w:r w:rsidRPr="007D0305">
              <w:rPr>
                <w:sz w:val="20"/>
                <w:szCs w:val="20"/>
              </w:rPr>
              <w:t>Vaccine Supplier)</w:t>
            </w:r>
          </w:p>
        </w:tc>
        <w:tc>
          <w:tcPr>
            <w:tcW w:w="992" w:type="dxa"/>
            <w:vMerge w:val="restart"/>
          </w:tcPr>
          <w:p w:rsidR="000A550F" w:rsidRPr="007D0305" w:rsidRDefault="000A550F" w:rsidP="000A550F">
            <w:pPr>
              <w:jc w:val="center"/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Schedule</w:t>
            </w:r>
          </w:p>
          <w:p w:rsidR="000A550F" w:rsidRPr="007D0305" w:rsidRDefault="000A550F" w:rsidP="000A550F">
            <w:pPr>
              <w:jc w:val="center"/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 xml:space="preserve">1 fractional-dose </w:t>
            </w:r>
          </w:p>
        </w:tc>
        <w:tc>
          <w:tcPr>
            <w:tcW w:w="1134" w:type="dxa"/>
            <w:vMerge w:val="restart"/>
          </w:tcPr>
          <w:p w:rsidR="000A550F" w:rsidRPr="007D0305" w:rsidRDefault="000A550F" w:rsidP="000A550F">
            <w:pPr>
              <w:jc w:val="center"/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Schedule 1 full-dose</w:t>
            </w:r>
          </w:p>
        </w:tc>
        <w:tc>
          <w:tcPr>
            <w:tcW w:w="8222" w:type="dxa"/>
            <w:gridSpan w:val="7"/>
          </w:tcPr>
          <w:p w:rsidR="000A550F" w:rsidRPr="007D0305" w:rsidRDefault="000A550F" w:rsidP="000A550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D0305">
              <w:rPr>
                <w:rFonts w:eastAsia="Times New Roman"/>
                <w:color w:val="000000"/>
                <w:sz w:val="20"/>
                <w:szCs w:val="20"/>
              </w:rPr>
              <w:t>Immunity to type 2 poliovirus, after 1 fractional-dose or 1 full dose</w:t>
            </w:r>
          </w:p>
        </w:tc>
      </w:tr>
      <w:tr w:rsidR="000A550F" w:rsidTr="0013519B">
        <w:trPr>
          <w:trHeight w:val="273"/>
        </w:trPr>
        <w:tc>
          <w:tcPr>
            <w:tcW w:w="2093" w:type="dxa"/>
            <w:vMerge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A550F" w:rsidRPr="007D0305" w:rsidRDefault="000A550F" w:rsidP="000A5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550F" w:rsidRPr="007D0305" w:rsidRDefault="000A550F" w:rsidP="000A5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0A550F" w:rsidRPr="007D0305" w:rsidRDefault="000A550F" w:rsidP="000A550F">
            <w:pPr>
              <w:jc w:val="center"/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Seroconversion (%)</w:t>
            </w:r>
          </w:p>
        </w:tc>
        <w:tc>
          <w:tcPr>
            <w:tcW w:w="2126" w:type="dxa"/>
            <w:gridSpan w:val="2"/>
          </w:tcPr>
          <w:p w:rsidR="000A550F" w:rsidRPr="007D0305" w:rsidRDefault="000A550F" w:rsidP="000A550F">
            <w:pPr>
              <w:jc w:val="center"/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Priming (%)</w:t>
            </w:r>
          </w:p>
        </w:tc>
        <w:tc>
          <w:tcPr>
            <w:tcW w:w="2279" w:type="dxa"/>
            <w:gridSpan w:val="2"/>
          </w:tcPr>
          <w:p w:rsidR="000A550F" w:rsidRPr="007D0305" w:rsidRDefault="0071773E" w:rsidP="000A5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Median Antibody Tit</w:t>
            </w:r>
            <w:r w:rsidR="000A550F" w:rsidRPr="007D0305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r</w:t>
            </w:r>
            <w:r w:rsidR="000A550F" w:rsidRPr="007D0305">
              <w:rPr>
                <w:sz w:val="20"/>
                <w:szCs w:val="20"/>
              </w:rPr>
              <w:t>s (MAT)</w:t>
            </w:r>
          </w:p>
        </w:tc>
        <w:tc>
          <w:tcPr>
            <w:tcW w:w="1407" w:type="dxa"/>
            <w:vMerge w:val="restart"/>
          </w:tcPr>
          <w:p w:rsidR="000A550F" w:rsidRPr="007D0305" w:rsidRDefault="000A550F" w:rsidP="000A550F">
            <w:pPr>
              <w:jc w:val="center"/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Fold increase in MAT*</w:t>
            </w:r>
          </w:p>
        </w:tc>
      </w:tr>
      <w:tr w:rsidR="000A550F" w:rsidTr="0013519B">
        <w:trPr>
          <w:trHeight w:val="273"/>
        </w:trPr>
        <w:tc>
          <w:tcPr>
            <w:tcW w:w="2093" w:type="dxa"/>
            <w:vMerge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A550F" w:rsidRPr="007D0305" w:rsidRDefault="000A550F" w:rsidP="000A5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550F" w:rsidRPr="007D0305" w:rsidRDefault="000A550F" w:rsidP="000A5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1 fractional-dose</w:t>
            </w:r>
          </w:p>
        </w:tc>
        <w:tc>
          <w:tcPr>
            <w:tcW w:w="972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1 full-dose</w:t>
            </w:r>
          </w:p>
        </w:tc>
        <w:tc>
          <w:tcPr>
            <w:tcW w:w="1304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1 fractional-dose</w:t>
            </w:r>
          </w:p>
        </w:tc>
        <w:tc>
          <w:tcPr>
            <w:tcW w:w="822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1 full-dose</w:t>
            </w:r>
          </w:p>
        </w:tc>
        <w:tc>
          <w:tcPr>
            <w:tcW w:w="1276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1 fractional-dose</w:t>
            </w:r>
          </w:p>
        </w:tc>
        <w:tc>
          <w:tcPr>
            <w:tcW w:w="1003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1 full-dose</w:t>
            </w:r>
          </w:p>
        </w:tc>
        <w:tc>
          <w:tcPr>
            <w:tcW w:w="1407" w:type="dxa"/>
            <w:vMerge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</w:p>
        </w:tc>
      </w:tr>
      <w:tr w:rsidR="000A550F" w:rsidTr="0013519B">
        <w:tc>
          <w:tcPr>
            <w:tcW w:w="2093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Resik S et al. The Journal of Infectious Diseases (2010)</w:t>
            </w:r>
          </w:p>
        </w:tc>
        <w:tc>
          <w:tcPr>
            <w:tcW w:w="1701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 xml:space="preserve">Cuba </w:t>
            </w:r>
            <w:r w:rsidRPr="007D0305">
              <w:rPr>
                <w:rFonts w:eastAsia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7D0305">
              <w:rPr>
                <w:sz w:val="20"/>
                <w:szCs w:val="20"/>
              </w:rPr>
              <w:t>Statens</w:t>
            </w:r>
            <w:proofErr w:type="spellEnd"/>
            <w:r w:rsidRPr="007D0305">
              <w:rPr>
                <w:sz w:val="20"/>
                <w:szCs w:val="20"/>
              </w:rPr>
              <w:t xml:space="preserve"> Serum Institute)</w:t>
            </w:r>
          </w:p>
        </w:tc>
        <w:tc>
          <w:tcPr>
            <w:tcW w:w="992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6 weeks</w:t>
            </w:r>
          </w:p>
        </w:tc>
        <w:tc>
          <w:tcPr>
            <w:tcW w:w="1134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6 weeks</w:t>
            </w:r>
          </w:p>
        </w:tc>
        <w:tc>
          <w:tcPr>
            <w:tcW w:w="1438" w:type="dxa"/>
          </w:tcPr>
          <w:p w:rsidR="000A550F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72" w:type="dxa"/>
          </w:tcPr>
          <w:p w:rsidR="000A550F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304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NA</w:t>
            </w:r>
          </w:p>
        </w:tc>
        <w:tc>
          <w:tcPr>
            <w:tcW w:w="822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NA</w:t>
            </w:r>
          </w:p>
        </w:tc>
        <w:tc>
          <w:tcPr>
            <w:tcW w:w="1276" w:type="dxa"/>
          </w:tcPr>
          <w:p w:rsidR="000A550F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&lt;8</w:t>
            </w:r>
          </w:p>
        </w:tc>
        <w:tc>
          <w:tcPr>
            <w:tcW w:w="1003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11</w:t>
            </w:r>
          </w:p>
        </w:tc>
        <w:tc>
          <w:tcPr>
            <w:tcW w:w="1407" w:type="dxa"/>
          </w:tcPr>
          <w:p w:rsidR="000A550F" w:rsidRPr="007D0305" w:rsidRDefault="00BB6097" w:rsidP="000A5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0.7</w:t>
            </w:r>
          </w:p>
        </w:tc>
      </w:tr>
      <w:tr w:rsidR="0013519B" w:rsidTr="0013519B">
        <w:tc>
          <w:tcPr>
            <w:tcW w:w="2093" w:type="dxa"/>
          </w:tcPr>
          <w:p w:rsidR="0013519B" w:rsidRPr="007D0305" w:rsidRDefault="0013519B" w:rsidP="000A550F">
            <w:pPr>
              <w:rPr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Mohammed AJ et al. The New England Journal of Medicine (2010).</w:t>
            </w:r>
          </w:p>
        </w:tc>
        <w:tc>
          <w:tcPr>
            <w:tcW w:w="1701" w:type="dxa"/>
          </w:tcPr>
          <w:p w:rsidR="0013519B" w:rsidRPr="007D0305" w:rsidRDefault="0013519B" w:rsidP="000A550F">
            <w:pPr>
              <w:rPr>
                <w:sz w:val="20"/>
                <w:szCs w:val="20"/>
              </w:rPr>
            </w:pPr>
            <w:r w:rsidRPr="007D0305">
              <w:rPr>
                <w:color w:val="000000"/>
                <w:sz w:val="20"/>
                <w:szCs w:val="20"/>
              </w:rPr>
              <w:t>Oman (GlaxoSmithKline)</w:t>
            </w:r>
          </w:p>
        </w:tc>
        <w:tc>
          <w:tcPr>
            <w:tcW w:w="992" w:type="dxa"/>
          </w:tcPr>
          <w:p w:rsidR="0013519B" w:rsidRPr="007D0305" w:rsidRDefault="0013519B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months</w:t>
            </w:r>
          </w:p>
        </w:tc>
        <w:tc>
          <w:tcPr>
            <w:tcW w:w="1134" w:type="dxa"/>
          </w:tcPr>
          <w:p w:rsidR="0013519B" w:rsidRPr="007D0305" w:rsidRDefault="0013519B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months</w:t>
            </w:r>
          </w:p>
        </w:tc>
        <w:tc>
          <w:tcPr>
            <w:tcW w:w="1438" w:type="dxa"/>
          </w:tcPr>
          <w:p w:rsidR="0013519B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72" w:type="dxa"/>
          </w:tcPr>
          <w:p w:rsidR="0013519B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04" w:type="dxa"/>
          </w:tcPr>
          <w:p w:rsidR="0013519B" w:rsidRPr="007D0305" w:rsidRDefault="0013519B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822" w:type="dxa"/>
          </w:tcPr>
          <w:p w:rsidR="0013519B" w:rsidRPr="007D0305" w:rsidRDefault="0013519B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1276" w:type="dxa"/>
          </w:tcPr>
          <w:p w:rsidR="0013519B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&lt;8</w:t>
            </w:r>
          </w:p>
        </w:tc>
        <w:tc>
          <w:tcPr>
            <w:tcW w:w="1003" w:type="dxa"/>
          </w:tcPr>
          <w:p w:rsidR="0013519B" w:rsidRPr="007D0305" w:rsidRDefault="0013519B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07" w:type="dxa"/>
          </w:tcPr>
          <w:p w:rsidR="0013519B" w:rsidRDefault="0013519B" w:rsidP="000A5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</w:t>
            </w:r>
          </w:p>
        </w:tc>
      </w:tr>
      <w:tr w:rsidR="000A550F" w:rsidTr="0013519B">
        <w:tc>
          <w:tcPr>
            <w:tcW w:w="2093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Resik S et al. The New England Journal of Medicine (2013)</w:t>
            </w:r>
          </w:p>
        </w:tc>
        <w:tc>
          <w:tcPr>
            <w:tcW w:w="1701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Cuba (Netherlands Vaccine Institute)</w:t>
            </w:r>
          </w:p>
        </w:tc>
        <w:tc>
          <w:tcPr>
            <w:tcW w:w="992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4 months</w:t>
            </w:r>
          </w:p>
        </w:tc>
        <w:tc>
          <w:tcPr>
            <w:tcW w:w="1134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4 months</w:t>
            </w:r>
          </w:p>
        </w:tc>
        <w:tc>
          <w:tcPr>
            <w:tcW w:w="1438" w:type="dxa"/>
          </w:tcPr>
          <w:p w:rsidR="000A550F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972" w:type="dxa"/>
          </w:tcPr>
          <w:p w:rsidR="000A550F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304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94</w:t>
            </w:r>
          </w:p>
        </w:tc>
        <w:tc>
          <w:tcPr>
            <w:tcW w:w="822" w:type="dxa"/>
          </w:tcPr>
          <w:p w:rsidR="000A550F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9</w:t>
            </w:r>
          </w:p>
        </w:tc>
        <w:tc>
          <w:tcPr>
            <w:tcW w:w="1003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28</w:t>
            </w:r>
          </w:p>
        </w:tc>
        <w:tc>
          <w:tcPr>
            <w:tcW w:w="1407" w:type="dxa"/>
          </w:tcPr>
          <w:p w:rsidR="000A550F" w:rsidRPr="007D0305" w:rsidRDefault="00BB6097" w:rsidP="000A5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</w:t>
            </w:r>
          </w:p>
        </w:tc>
      </w:tr>
      <w:tr w:rsidR="000A550F" w:rsidTr="0013519B">
        <w:tc>
          <w:tcPr>
            <w:tcW w:w="2093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Anand A et al. Vaccine (2015)</w:t>
            </w:r>
          </w:p>
        </w:tc>
        <w:tc>
          <w:tcPr>
            <w:tcW w:w="1701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Bangladesh (Netherlands Vaccine Institute)</w:t>
            </w:r>
          </w:p>
        </w:tc>
        <w:tc>
          <w:tcPr>
            <w:tcW w:w="992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6 weeks</w:t>
            </w:r>
          </w:p>
        </w:tc>
        <w:tc>
          <w:tcPr>
            <w:tcW w:w="1134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6 weeks</w:t>
            </w:r>
          </w:p>
        </w:tc>
        <w:tc>
          <w:tcPr>
            <w:tcW w:w="1438" w:type="dxa"/>
          </w:tcPr>
          <w:p w:rsidR="000A550F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72" w:type="dxa"/>
          </w:tcPr>
          <w:p w:rsidR="000A550F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304" w:type="dxa"/>
          </w:tcPr>
          <w:p w:rsidR="000A550F" w:rsidRPr="007D0305" w:rsidRDefault="00743C2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22" w:type="dxa"/>
          </w:tcPr>
          <w:p w:rsidR="000A550F" w:rsidRPr="007D0305" w:rsidRDefault="00743C2F" w:rsidP="00743C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276" w:type="dxa"/>
          </w:tcPr>
          <w:p w:rsidR="000A550F" w:rsidRPr="007D0305" w:rsidRDefault="006102BF" w:rsidP="000A55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03" w:type="dxa"/>
          </w:tcPr>
          <w:p w:rsidR="000A550F" w:rsidRPr="007D0305" w:rsidRDefault="000A550F" w:rsidP="000A550F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28</w:t>
            </w:r>
          </w:p>
        </w:tc>
        <w:tc>
          <w:tcPr>
            <w:tcW w:w="1407" w:type="dxa"/>
          </w:tcPr>
          <w:p w:rsidR="000A550F" w:rsidRPr="007D0305" w:rsidRDefault="00BB6097" w:rsidP="00BB6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</w:tr>
    </w:tbl>
    <w:p w:rsidR="000A550F" w:rsidRDefault="000A550F" w:rsidP="00BB6097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*Between one full dose IPV</w:t>
      </w:r>
      <w:r w:rsidR="00BB6097">
        <w:rPr>
          <w:rFonts w:eastAsia="Times New Roman"/>
          <w:color w:val="000000"/>
          <w:sz w:val="20"/>
          <w:szCs w:val="20"/>
        </w:rPr>
        <w:t xml:space="preserve"> and one fractional dose of IPV </w:t>
      </w: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Pr="002E1603" w:rsidRDefault="007D0305" w:rsidP="007D0305">
      <w:pPr>
        <w:snapToGrid w:val="0"/>
        <w:spacing w:after="0" w:line="360" w:lineRule="auto"/>
        <w:rPr>
          <w:rFonts w:cs="Arial"/>
          <w:b/>
          <w:bCs/>
          <w:sz w:val="20"/>
          <w:szCs w:val="20"/>
          <w:lang w:val="en-US"/>
        </w:rPr>
      </w:pPr>
      <w:r>
        <w:rPr>
          <w:rFonts w:cs="Arial"/>
          <w:b/>
          <w:bCs/>
          <w:sz w:val="20"/>
          <w:szCs w:val="20"/>
          <w:lang w:val="en-US"/>
        </w:rPr>
        <w:t>Table 3</w:t>
      </w:r>
      <w:r w:rsidRPr="002E1603">
        <w:rPr>
          <w:rFonts w:cs="Arial"/>
          <w:b/>
          <w:bCs/>
          <w:sz w:val="20"/>
          <w:szCs w:val="20"/>
          <w:lang w:val="en-US"/>
        </w:rPr>
        <w:t>: Summary of ID Devices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3827"/>
        <w:gridCol w:w="3119"/>
        <w:gridCol w:w="3969"/>
      </w:tblGrid>
      <w:tr w:rsidR="007D0305" w:rsidRPr="002E1603" w:rsidTr="004F083B">
        <w:tc>
          <w:tcPr>
            <w:tcW w:w="1101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Device</w:t>
            </w:r>
          </w:p>
        </w:tc>
        <w:tc>
          <w:tcPr>
            <w:tcW w:w="1417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Supplier</w:t>
            </w:r>
          </w:p>
        </w:tc>
        <w:tc>
          <w:tcPr>
            <w:tcW w:w="3827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Description</w:t>
            </w:r>
          </w:p>
        </w:tc>
        <w:tc>
          <w:tcPr>
            <w:tcW w:w="311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Licence status</w:t>
            </w:r>
          </w:p>
        </w:tc>
        <w:tc>
          <w:tcPr>
            <w:tcW w:w="396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Availability timing</w:t>
            </w:r>
          </w:p>
        </w:tc>
      </w:tr>
      <w:tr w:rsidR="007D0305" w:rsidRPr="002E1603" w:rsidTr="004F083B">
        <w:tc>
          <w:tcPr>
            <w:tcW w:w="1101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Tropis</w:t>
            </w:r>
          </w:p>
        </w:tc>
        <w:tc>
          <w:tcPr>
            <w:tcW w:w="1417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Pharmajet, USA</w:t>
            </w:r>
          </w:p>
        </w:tc>
        <w:tc>
          <w:tcPr>
            <w:tcW w:w="3827" w:type="dxa"/>
          </w:tcPr>
          <w:p w:rsidR="007D0305" w:rsidRPr="007D0305" w:rsidRDefault="007D0305" w:rsidP="004F083B">
            <w:pPr>
              <w:contextualSpacing/>
              <w:rPr>
                <w:rFonts w:eastAsia="Times New Roman" w:cs="Segoe UI"/>
                <w:sz w:val="20"/>
                <w:szCs w:val="20"/>
              </w:rPr>
            </w:pPr>
            <w:r w:rsidRPr="007D0305">
              <w:rPr>
                <w:rFonts w:cs="Segoe UI"/>
                <w:kern w:val="24"/>
                <w:sz w:val="20"/>
                <w:szCs w:val="20"/>
                <w:lang w:val="en-US"/>
              </w:rPr>
              <w:t>Jet injector optimized for ID administration.</w:t>
            </w:r>
            <w:r w:rsidRPr="007D0305">
              <w:rPr>
                <w:rFonts w:eastAsia="Times New Roman" w:cs="Segoe UI"/>
                <w:sz w:val="20"/>
                <w:szCs w:val="20"/>
              </w:rPr>
              <w:t xml:space="preserve"> </w:t>
            </w:r>
            <w:r w:rsidRPr="007D0305">
              <w:rPr>
                <w:rFonts w:cs="Segoe UI"/>
                <w:kern w:val="24"/>
                <w:sz w:val="20"/>
                <w:szCs w:val="20"/>
                <w:lang w:val="en-US"/>
              </w:rPr>
              <w:t>No needle.</w:t>
            </w:r>
          </w:p>
        </w:tc>
        <w:tc>
          <w:tcPr>
            <w:tcW w:w="311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rFonts w:eastAsia="Times New Roman" w:cs="Segoe UI"/>
                <w:kern w:val="24"/>
                <w:sz w:val="20"/>
                <w:szCs w:val="20"/>
                <w:lang w:val="en-US"/>
              </w:rPr>
              <w:t>US 501k</w:t>
            </w:r>
            <w:r w:rsidRPr="007D0305">
              <w:rPr>
                <w:rFonts w:cs="Segoe UI"/>
                <w:kern w:val="24"/>
                <w:sz w:val="20"/>
                <w:szCs w:val="20"/>
                <w:lang w:val="en-US"/>
              </w:rPr>
              <w:t xml:space="preserve"> scheduled in mid-2016</w:t>
            </w:r>
          </w:p>
        </w:tc>
        <w:tc>
          <w:tcPr>
            <w:tcW w:w="396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rFonts w:cs="Segoe UI"/>
                <w:kern w:val="24"/>
                <w:sz w:val="20"/>
                <w:szCs w:val="20"/>
              </w:rPr>
              <w:t>Q1 2017</w:t>
            </w:r>
          </w:p>
        </w:tc>
      </w:tr>
      <w:tr w:rsidR="007D0305" w:rsidRPr="002E1603" w:rsidTr="004F083B">
        <w:tc>
          <w:tcPr>
            <w:tcW w:w="1101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ID Adapter</w:t>
            </w:r>
          </w:p>
        </w:tc>
        <w:tc>
          <w:tcPr>
            <w:tcW w:w="1417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West Pharma, USA and Helm, Germany</w:t>
            </w:r>
          </w:p>
        </w:tc>
        <w:tc>
          <w:tcPr>
            <w:tcW w:w="3827" w:type="dxa"/>
          </w:tcPr>
          <w:p w:rsidR="007D0305" w:rsidRPr="007D0305" w:rsidRDefault="007D0305" w:rsidP="004F083B">
            <w:pPr>
              <w:contextualSpacing/>
              <w:rPr>
                <w:rFonts w:eastAsia="Times New Roman" w:cs="Segoe UI"/>
                <w:sz w:val="20"/>
                <w:szCs w:val="20"/>
              </w:rPr>
            </w:pPr>
            <w:r w:rsidRPr="007D0305">
              <w:rPr>
                <w:rFonts w:eastAsia="Times New Roman" w:cs="Segoe UI"/>
                <w:kern w:val="24"/>
                <w:sz w:val="20"/>
                <w:szCs w:val="20"/>
                <w:lang w:val="en-US"/>
              </w:rPr>
              <w:t>Plastic adapter attached to regular needle and syringe to optimize the angle and depth of ID needle administration</w:t>
            </w:r>
            <w:r w:rsidRPr="007D0305">
              <w:rPr>
                <w:rFonts w:eastAsia="Times New Roman" w:cs="Segoe UI"/>
                <w:sz w:val="20"/>
                <w:szCs w:val="20"/>
              </w:rPr>
              <w:t>.</w:t>
            </w:r>
          </w:p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rFonts w:eastAsia="Times New Roman" w:cs="Segoe UI"/>
                <w:sz w:val="20"/>
                <w:szCs w:val="20"/>
              </w:rPr>
              <w:t>Combined</w:t>
            </w:r>
            <w:r w:rsidRPr="007D0305">
              <w:rPr>
                <w:rFonts w:eastAsia="Times New Roman" w:cs="Segoe UI"/>
                <w:kern w:val="24"/>
                <w:sz w:val="20"/>
                <w:szCs w:val="20"/>
                <w:lang w:val="en-US"/>
              </w:rPr>
              <w:t xml:space="preserve"> adaptor-AD syringe available in 2017.</w:t>
            </w:r>
          </w:p>
        </w:tc>
        <w:tc>
          <w:tcPr>
            <w:tcW w:w="311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rFonts w:eastAsia="Times New Roman" w:cs="Segoe UI"/>
                <w:kern w:val="24"/>
                <w:sz w:val="20"/>
                <w:szCs w:val="20"/>
                <w:lang w:val="en-US"/>
              </w:rPr>
              <w:t>US 501k</w:t>
            </w:r>
          </w:p>
        </w:tc>
        <w:tc>
          <w:tcPr>
            <w:tcW w:w="396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rFonts w:cs="Segoe UI"/>
                <w:kern w:val="24"/>
                <w:sz w:val="20"/>
                <w:szCs w:val="20"/>
              </w:rPr>
              <w:t>Q1 2017</w:t>
            </w:r>
          </w:p>
        </w:tc>
      </w:tr>
      <w:tr w:rsidR="007D0305" w:rsidRPr="002E1603" w:rsidTr="004F083B">
        <w:tc>
          <w:tcPr>
            <w:tcW w:w="1101" w:type="dxa"/>
          </w:tcPr>
          <w:p w:rsidR="007D0305" w:rsidRPr="007D0305" w:rsidRDefault="007D0305" w:rsidP="004F083B">
            <w:pPr>
              <w:rPr>
                <w:rFonts w:eastAsia="Times New Roman" w:cs="Segoe UI"/>
                <w:kern w:val="24"/>
                <w:sz w:val="20"/>
                <w:szCs w:val="20"/>
                <w:lang w:val="en-US"/>
              </w:rPr>
            </w:pPr>
            <w:r w:rsidRPr="007D0305">
              <w:rPr>
                <w:rFonts w:eastAsia="Times New Roman" w:cs="Segoe UI"/>
                <w:kern w:val="24"/>
                <w:sz w:val="20"/>
                <w:szCs w:val="20"/>
                <w:lang w:val="en-US"/>
              </w:rPr>
              <w:t xml:space="preserve">Star syringe </w:t>
            </w:r>
          </w:p>
          <w:p w:rsidR="007D0305" w:rsidRPr="007D0305" w:rsidRDefault="007D0305" w:rsidP="004F083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D0305" w:rsidRPr="007D0305" w:rsidRDefault="007D0305" w:rsidP="004F083B">
            <w:pPr>
              <w:rPr>
                <w:rFonts w:eastAsia="Times New Roman" w:cs="Segoe UI"/>
                <w:kern w:val="24"/>
                <w:sz w:val="20"/>
                <w:szCs w:val="20"/>
                <w:lang w:val="en-US"/>
              </w:rPr>
            </w:pPr>
            <w:r w:rsidRPr="007D0305">
              <w:rPr>
                <w:rFonts w:eastAsia="Times New Roman" w:cs="Segoe UI"/>
                <w:kern w:val="24"/>
                <w:sz w:val="20"/>
                <w:szCs w:val="20"/>
                <w:lang w:val="en-US"/>
              </w:rPr>
              <w:t>Star, USA</w:t>
            </w:r>
          </w:p>
          <w:p w:rsidR="007D0305" w:rsidRPr="007D0305" w:rsidRDefault="007D0305" w:rsidP="004F083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7D0305" w:rsidRPr="007D0305" w:rsidRDefault="007D0305" w:rsidP="004F083B">
            <w:pPr>
              <w:contextualSpacing/>
              <w:rPr>
                <w:rFonts w:cs="Segoe UI"/>
                <w:kern w:val="24"/>
                <w:sz w:val="20"/>
                <w:szCs w:val="20"/>
                <w:lang w:val="en-US"/>
              </w:rPr>
            </w:pPr>
            <w:r w:rsidRPr="007D0305">
              <w:rPr>
                <w:rFonts w:cs="Segoe UI"/>
                <w:kern w:val="24"/>
                <w:sz w:val="20"/>
                <w:szCs w:val="20"/>
                <w:lang w:val="en-US"/>
              </w:rPr>
              <w:t>Needle and syringe (NS) optimized for ID administration. Very little dead space.</w:t>
            </w:r>
          </w:p>
        </w:tc>
        <w:tc>
          <w:tcPr>
            <w:tcW w:w="311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rFonts w:eastAsia="Times New Roman" w:cs="Segoe UI"/>
                <w:kern w:val="24"/>
                <w:sz w:val="20"/>
                <w:szCs w:val="20"/>
                <w:lang w:val="en-US"/>
              </w:rPr>
              <w:t>US 501k</w:t>
            </w:r>
            <w:r w:rsidRPr="007D0305">
              <w:rPr>
                <w:rFonts w:cs="Segoe UI"/>
                <w:kern w:val="24"/>
                <w:sz w:val="20"/>
                <w:szCs w:val="20"/>
                <w:lang w:val="en-US"/>
              </w:rPr>
              <w:t xml:space="preserve"> scheduled in late 2016</w:t>
            </w:r>
          </w:p>
        </w:tc>
        <w:tc>
          <w:tcPr>
            <w:tcW w:w="396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Q1 2017</w:t>
            </w:r>
          </w:p>
        </w:tc>
      </w:tr>
      <w:tr w:rsidR="007D0305" w:rsidRPr="002E1603" w:rsidTr="004F083B">
        <w:tc>
          <w:tcPr>
            <w:tcW w:w="1101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proofErr w:type="spellStart"/>
            <w:r w:rsidRPr="007D0305">
              <w:rPr>
                <w:sz w:val="20"/>
                <w:szCs w:val="20"/>
              </w:rPr>
              <w:t>MicronJet</w:t>
            </w:r>
            <w:proofErr w:type="spellEnd"/>
            <w:r w:rsidRPr="007D0305">
              <w:rPr>
                <w:sz w:val="20"/>
                <w:szCs w:val="20"/>
              </w:rPr>
              <w:t xml:space="preserve"> 600 </w:t>
            </w:r>
          </w:p>
        </w:tc>
        <w:tc>
          <w:tcPr>
            <w:tcW w:w="1417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proofErr w:type="spellStart"/>
            <w:r w:rsidRPr="007D0305">
              <w:rPr>
                <w:sz w:val="20"/>
                <w:szCs w:val="20"/>
              </w:rPr>
              <w:t>Nanopass</w:t>
            </w:r>
            <w:proofErr w:type="spellEnd"/>
            <w:r w:rsidRPr="007D0305">
              <w:rPr>
                <w:sz w:val="20"/>
                <w:szCs w:val="20"/>
              </w:rPr>
              <w:t>, Israel</w:t>
            </w:r>
          </w:p>
        </w:tc>
        <w:tc>
          <w:tcPr>
            <w:tcW w:w="3827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Disposable needle attached to regular syringe. Significant dead space (0.04mL/device).</w:t>
            </w:r>
          </w:p>
        </w:tc>
        <w:tc>
          <w:tcPr>
            <w:tcW w:w="311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US 501k</w:t>
            </w:r>
          </w:p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EMEA CE</w:t>
            </w:r>
          </w:p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India, Israel</w:t>
            </w:r>
          </w:p>
        </w:tc>
        <w:tc>
          <w:tcPr>
            <w:tcW w:w="3969" w:type="dxa"/>
          </w:tcPr>
          <w:p w:rsidR="007D0305" w:rsidRPr="007D0305" w:rsidRDefault="007D0305" w:rsidP="004F083B">
            <w:pPr>
              <w:rPr>
                <w:rFonts w:cs="Segoe UI"/>
                <w:kern w:val="24"/>
                <w:sz w:val="20"/>
                <w:szCs w:val="20"/>
              </w:rPr>
            </w:pPr>
          </w:p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rFonts w:cs="Segoe UI"/>
                <w:kern w:val="24"/>
                <w:sz w:val="20"/>
                <w:szCs w:val="20"/>
              </w:rPr>
              <w:t>2017</w:t>
            </w:r>
          </w:p>
        </w:tc>
      </w:tr>
      <w:tr w:rsidR="007D0305" w:rsidRPr="002E1603" w:rsidTr="004F083B">
        <w:tc>
          <w:tcPr>
            <w:tcW w:w="1101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ID Pen</w:t>
            </w:r>
          </w:p>
        </w:tc>
        <w:tc>
          <w:tcPr>
            <w:tcW w:w="1417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proofErr w:type="spellStart"/>
            <w:r w:rsidRPr="007D0305">
              <w:rPr>
                <w:sz w:val="20"/>
                <w:szCs w:val="20"/>
              </w:rPr>
              <w:t>Bioject</w:t>
            </w:r>
            <w:proofErr w:type="spellEnd"/>
            <w:r w:rsidRPr="007D0305">
              <w:rPr>
                <w:sz w:val="20"/>
                <w:szCs w:val="20"/>
              </w:rPr>
              <w:t>, USA</w:t>
            </w:r>
          </w:p>
        </w:tc>
        <w:tc>
          <w:tcPr>
            <w:tcW w:w="3827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Jet injector optimized for ID administration.</w:t>
            </w:r>
          </w:p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No needle.</w:t>
            </w:r>
          </w:p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Suboptimal performance compared to Tropis/N&amp;S.</w:t>
            </w:r>
          </w:p>
        </w:tc>
        <w:tc>
          <w:tcPr>
            <w:tcW w:w="311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Not known</w:t>
            </w:r>
          </w:p>
        </w:tc>
        <w:tc>
          <w:tcPr>
            <w:tcW w:w="396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Not Available</w:t>
            </w:r>
          </w:p>
        </w:tc>
      </w:tr>
      <w:tr w:rsidR="007D0305" w:rsidRPr="002E1603" w:rsidTr="004F083B">
        <w:tc>
          <w:tcPr>
            <w:tcW w:w="1101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BCG Needle</w:t>
            </w:r>
          </w:p>
        </w:tc>
        <w:tc>
          <w:tcPr>
            <w:tcW w:w="1417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Various</w:t>
            </w:r>
          </w:p>
        </w:tc>
        <w:tc>
          <w:tcPr>
            <w:tcW w:w="3827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Used to administer BCG N/S</w:t>
            </w:r>
          </w:p>
        </w:tc>
        <w:tc>
          <w:tcPr>
            <w:tcW w:w="311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Licenced</w:t>
            </w:r>
          </w:p>
        </w:tc>
        <w:tc>
          <w:tcPr>
            <w:tcW w:w="3969" w:type="dxa"/>
          </w:tcPr>
          <w:p w:rsidR="007D0305" w:rsidRPr="007D0305" w:rsidRDefault="007D0305" w:rsidP="004F083B">
            <w:pPr>
              <w:rPr>
                <w:sz w:val="20"/>
                <w:szCs w:val="20"/>
              </w:rPr>
            </w:pPr>
            <w:r w:rsidRPr="007D0305">
              <w:rPr>
                <w:sz w:val="20"/>
                <w:szCs w:val="20"/>
              </w:rPr>
              <w:t>Widely Available</w:t>
            </w:r>
          </w:p>
        </w:tc>
      </w:tr>
    </w:tbl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7D0305" w:rsidRDefault="007D0305" w:rsidP="00F9143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sectPr w:rsidR="007D0305" w:rsidSect="00CB57D4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BB2" w:rsidRDefault="00027BB2" w:rsidP="002C0807">
      <w:pPr>
        <w:spacing w:after="0" w:line="240" w:lineRule="auto"/>
      </w:pPr>
      <w:r>
        <w:separator/>
      </w:r>
    </w:p>
  </w:endnote>
  <w:endnote w:type="continuationSeparator" w:id="0">
    <w:p w:rsidR="00027BB2" w:rsidRDefault="00027BB2" w:rsidP="002C0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OT1ef757c0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 LT 57 C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-Web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BB2" w:rsidRDefault="00027BB2" w:rsidP="002C0807">
      <w:pPr>
        <w:spacing w:after="0" w:line="240" w:lineRule="auto"/>
      </w:pPr>
      <w:r>
        <w:separator/>
      </w:r>
    </w:p>
  </w:footnote>
  <w:footnote w:type="continuationSeparator" w:id="0">
    <w:p w:rsidR="00027BB2" w:rsidRDefault="00027BB2" w:rsidP="002C0807">
      <w:pPr>
        <w:spacing w:after="0" w:line="240" w:lineRule="auto"/>
      </w:pPr>
      <w:r>
        <w:continuationSeparator/>
      </w:r>
    </w:p>
  </w:footnote>
  <w:footnote w:id="1">
    <w:p w:rsidR="00044573" w:rsidRDefault="00044573" w:rsidP="0040539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UNICEF.</w:t>
      </w:r>
      <w:proofErr w:type="gramEnd"/>
      <w:r>
        <w:t xml:space="preserve"> </w:t>
      </w:r>
      <w:proofErr w:type="gramStart"/>
      <w:r>
        <w:t>Inactivated Polio Vaccine: Supply Update.</w:t>
      </w:r>
      <w:proofErr w:type="gramEnd"/>
      <w:r>
        <w:t xml:space="preserve"> May 2015.</w:t>
      </w:r>
    </w:p>
  </w:footnote>
  <w:footnote w:id="2">
    <w:p w:rsidR="005B3C8B" w:rsidRPr="0001731E" w:rsidRDefault="00044573" w:rsidP="005B3C8B">
      <w:pPr>
        <w:spacing w:after="0" w:line="240" w:lineRule="auto"/>
        <w:rPr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 w:rsidR="0001731E" w:rsidRPr="00590CE2">
        <w:rPr>
          <w:sz w:val="20"/>
          <w:szCs w:val="20"/>
        </w:rPr>
        <w:t>Global Polio Eradication Initiative.</w:t>
      </w:r>
      <w:proofErr w:type="gramEnd"/>
      <w:r w:rsidR="0001731E">
        <w:rPr>
          <w:b/>
          <w:bCs/>
          <w:sz w:val="20"/>
          <w:szCs w:val="20"/>
        </w:rPr>
        <w:t xml:space="preserve"> </w:t>
      </w:r>
      <w:proofErr w:type="gramStart"/>
      <w:r w:rsidR="0001731E" w:rsidRPr="000B5042">
        <w:rPr>
          <w:sz w:val="20"/>
          <w:szCs w:val="20"/>
        </w:rPr>
        <w:t>R</w:t>
      </w:r>
      <w:r w:rsidR="0001731E" w:rsidRPr="00590CE2">
        <w:rPr>
          <w:sz w:val="20"/>
          <w:szCs w:val="20"/>
        </w:rPr>
        <w:t xml:space="preserve">esponding to </w:t>
      </w:r>
      <w:r w:rsidR="0001731E">
        <w:rPr>
          <w:sz w:val="20"/>
          <w:szCs w:val="20"/>
        </w:rPr>
        <w:t>a poliovirus event</w:t>
      </w:r>
      <w:r w:rsidR="0001731E" w:rsidRPr="00590CE2">
        <w:rPr>
          <w:sz w:val="20"/>
          <w:szCs w:val="20"/>
        </w:rPr>
        <w:t xml:space="preserve"> and outb</w:t>
      </w:r>
      <w:r w:rsidR="0001731E">
        <w:rPr>
          <w:sz w:val="20"/>
          <w:szCs w:val="20"/>
        </w:rPr>
        <w:t xml:space="preserve">reak - </w:t>
      </w:r>
      <w:r w:rsidR="0001731E" w:rsidRPr="00590CE2">
        <w:rPr>
          <w:sz w:val="20"/>
          <w:szCs w:val="20"/>
        </w:rPr>
        <w:t>Standard Operating Procedures</w:t>
      </w:r>
      <w:r w:rsidR="0001731E">
        <w:rPr>
          <w:sz w:val="20"/>
          <w:szCs w:val="20"/>
        </w:rPr>
        <w:t xml:space="preserve"> (SOPs).</w:t>
      </w:r>
      <w:proofErr w:type="gramEnd"/>
      <w:r w:rsidR="005B3C8B" w:rsidRPr="005B3C8B">
        <w:rPr>
          <w:sz w:val="20"/>
          <w:szCs w:val="20"/>
        </w:rPr>
        <w:t xml:space="preserve"> </w:t>
      </w:r>
      <w:r w:rsidR="008816D7">
        <w:rPr>
          <w:sz w:val="20"/>
          <w:szCs w:val="20"/>
        </w:rPr>
        <w:t xml:space="preserve">2016. </w:t>
      </w:r>
      <w:r w:rsidR="005B3C8B">
        <w:rPr>
          <w:sz w:val="20"/>
          <w:szCs w:val="20"/>
        </w:rPr>
        <w:t xml:space="preserve">Part 1: </w:t>
      </w:r>
      <w:r w:rsidR="005B3C8B" w:rsidRPr="005B3C8B">
        <w:rPr>
          <w:sz w:val="20"/>
          <w:szCs w:val="20"/>
        </w:rPr>
        <w:t>http://www.polioeradication.org/Portals/0/Document/Resources/PolioEradicators/1a.PolioOutbreakGuideline201604part1.pdf</w:t>
      </w:r>
      <w:r w:rsidR="005B3C8B">
        <w:rPr>
          <w:sz w:val="20"/>
          <w:szCs w:val="20"/>
        </w:rPr>
        <w:t xml:space="preserve"> Part2: </w:t>
      </w:r>
      <w:r w:rsidR="005B3C8B" w:rsidRPr="004A5D56">
        <w:rPr>
          <w:sz w:val="20"/>
          <w:szCs w:val="20"/>
        </w:rPr>
        <w:t>http://www.polioeradication.org/Portals/0/Document/Resources/PolioEradicators/1a.P</w:t>
      </w:r>
      <w:r w:rsidR="005B3C8B">
        <w:rPr>
          <w:sz w:val="20"/>
          <w:szCs w:val="20"/>
        </w:rPr>
        <w:t>olioOutbreakGuideline201604part2</w:t>
      </w:r>
      <w:r w:rsidR="005B3C8B" w:rsidRPr="004A5D56">
        <w:rPr>
          <w:sz w:val="20"/>
          <w:szCs w:val="20"/>
        </w:rPr>
        <w:t>.pdf</w:t>
      </w:r>
    </w:p>
    <w:p w:rsidR="005B3C8B" w:rsidRDefault="005B3C8B" w:rsidP="005B3C8B">
      <w:pPr>
        <w:spacing w:after="0" w:line="240" w:lineRule="auto"/>
        <w:rPr>
          <w:sz w:val="20"/>
          <w:szCs w:val="20"/>
        </w:rPr>
      </w:pPr>
    </w:p>
    <w:p w:rsidR="005B3C8B" w:rsidRDefault="005B3C8B" w:rsidP="005B3C8B">
      <w:pPr>
        <w:spacing w:after="0" w:line="240" w:lineRule="auto"/>
        <w:rPr>
          <w:sz w:val="20"/>
          <w:szCs w:val="20"/>
        </w:rPr>
      </w:pPr>
    </w:p>
    <w:p w:rsidR="005B3C8B" w:rsidRDefault="005B3C8B" w:rsidP="005B3C8B">
      <w:pPr>
        <w:spacing w:after="0" w:line="240" w:lineRule="auto"/>
        <w:rPr>
          <w:sz w:val="20"/>
          <w:szCs w:val="20"/>
        </w:rPr>
      </w:pPr>
    </w:p>
    <w:p w:rsidR="005B3C8B" w:rsidRDefault="005B3C8B" w:rsidP="005B3C8B">
      <w:pPr>
        <w:spacing w:after="0" w:line="240" w:lineRule="auto"/>
        <w:rPr>
          <w:sz w:val="20"/>
          <w:szCs w:val="20"/>
        </w:rPr>
      </w:pPr>
    </w:p>
    <w:p w:rsidR="00044573" w:rsidRPr="0001731E" w:rsidRDefault="00044573" w:rsidP="0001731E">
      <w:pPr>
        <w:spacing w:after="0" w:line="240" w:lineRule="auto"/>
        <w:rPr>
          <w:sz w:val="20"/>
          <w:szCs w:val="20"/>
        </w:rPr>
      </w:pPr>
    </w:p>
  </w:footnote>
  <w:footnote w:id="3">
    <w:p w:rsidR="00044573" w:rsidRDefault="00044573" w:rsidP="00A6515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Cadorna</w:t>
      </w:r>
      <w:proofErr w:type="spellEnd"/>
      <w:r>
        <w:t>-Carlos J et al. Randomised controlled study of fractional doses of inactivated poliovirus vaccine administered intradermally with a needle in the Philippines. International Journal of Infectious Diseases 2012; 16(2):e110-e116.</w:t>
      </w:r>
    </w:p>
  </w:footnote>
  <w:footnote w:id="4">
    <w:p w:rsidR="00044573" w:rsidRDefault="00044573" w:rsidP="00A6515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522A3">
        <w:rPr>
          <w:rFonts w:cs="Frutiger LT 57 Cn"/>
          <w:color w:val="000000"/>
          <w:lang w:val="en-US"/>
        </w:rPr>
        <w:t xml:space="preserve">Resik S et al. Priming after a fractional dose of inactivated poliovirus vaccine. </w:t>
      </w:r>
      <w:r>
        <w:rPr>
          <w:rFonts w:cs="Frutiger LT 57 Cn"/>
          <w:color w:val="000000"/>
          <w:lang w:val="en-US"/>
        </w:rPr>
        <w:t>The New England Journal of Medicine</w:t>
      </w:r>
      <w:r w:rsidRPr="003522A3">
        <w:rPr>
          <w:rFonts w:cs="Frutiger LT 57 Cn"/>
          <w:color w:val="000000"/>
          <w:lang w:val="en-US"/>
        </w:rPr>
        <w:t xml:space="preserve"> 2013; 368:416-24</w:t>
      </w:r>
    </w:p>
  </w:footnote>
  <w:footnote w:id="5">
    <w:p w:rsidR="00044573" w:rsidRPr="002B51F1" w:rsidRDefault="00044573" w:rsidP="00A65150">
      <w:pPr>
        <w:pStyle w:val="FootnoteText"/>
        <w:rPr>
          <w:color w:val="1F497D"/>
        </w:rPr>
      </w:pPr>
      <w:r>
        <w:rPr>
          <w:rStyle w:val="FootnoteReference"/>
        </w:rPr>
        <w:footnoteRef/>
      </w:r>
      <w:r>
        <w:t xml:space="preserve"> </w:t>
      </w:r>
      <w:r w:rsidRPr="003522A3">
        <w:rPr>
          <w:rFonts w:cs="Frutiger LT 57 Cn"/>
          <w:color w:val="000000"/>
          <w:lang w:val="en-US"/>
        </w:rPr>
        <w:t>Anand A et al</w:t>
      </w:r>
      <w:r>
        <w:rPr>
          <w:rFonts w:cs="Frutiger LT 57 Cn"/>
          <w:color w:val="000000"/>
          <w:lang w:val="en-US"/>
        </w:rPr>
        <w:t>.</w:t>
      </w:r>
      <w:r w:rsidRPr="003522A3">
        <w:rPr>
          <w:rFonts w:cs="Frutiger LT 57 Cn"/>
          <w:color w:val="000000"/>
          <w:lang w:val="en-US"/>
        </w:rPr>
        <w:t xml:space="preserve"> Early priming with inactivated poliovirus vaccine (IPV) and intradermal fractional dose IPV administered by a microneedle device:</w:t>
      </w:r>
      <w:r>
        <w:rPr>
          <w:rFonts w:cs="Frutiger LT 57 Cn"/>
          <w:color w:val="000000"/>
          <w:lang w:val="en-US"/>
        </w:rPr>
        <w:t xml:space="preserve"> </w:t>
      </w:r>
      <w:r w:rsidRPr="003522A3">
        <w:rPr>
          <w:rFonts w:cs="Frutiger LT 57 Cn"/>
          <w:color w:val="000000"/>
          <w:lang w:val="en-US"/>
        </w:rPr>
        <w:t>A rando</w:t>
      </w:r>
      <w:r>
        <w:rPr>
          <w:rFonts w:cs="Frutiger LT 57 Cn"/>
          <w:color w:val="000000"/>
          <w:lang w:val="en-US"/>
        </w:rPr>
        <w:t>mized controlled trial. Vaccine</w:t>
      </w:r>
      <w:r w:rsidRPr="003522A3">
        <w:rPr>
          <w:rFonts w:cs="Frutiger LT 57 Cn"/>
          <w:color w:val="000000"/>
          <w:lang w:val="en-US"/>
        </w:rPr>
        <w:t xml:space="preserve"> 2015;</w:t>
      </w:r>
      <w:r>
        <w:rPr>
          <w:rFonts w:cs="Frutiger LT 57 Cn"/>
          <w:color w:val="000000"/>
          <w:lang w:val="en-US"/>
        </w:rPr>
        <w:t xml:space="preserve"> </w:t>
      </w:r>
      <w:r w:rsidRPr="003522A3">
        <w:rPr>
          <w:rFonts w:cs="Frutiger LT 57 Cn"/>
          <w:color w:val="000000"/>
          <w:lang w:val="en-US"/>
        </w:rPr>
        <w:t>33(48):6816-22</w:t>
      </w:r>
      <w:r w:rsidRPr="003522A3">
        <w:rPr>
          <w:color w:val="1F497D"/>
        </w:rPr>
        <w:t>.</w:t>
      </w:r>
    </w:p>
  </w:footnote>
  <w:footnote w:id="6">
    <w:p w:rsidR="00044573" w:rsidRDefault="00044573" w:rsidP="0064658B">
      <w:pPr>
        <w:pStyle w:val="FootnoteText"/>
      </w:pPr>
      <w:r>
        <w:rPr>
          <w:rStyle w:val="FootnoteReference"/>
        </w:rPr>
        <w:footnoteRef/>
      </w:r>
      <w:r>
        <w:t xml:space="preserve"> Anand A et al. 2016 </w:t>
      </w:r>
      <w:r w:rsidRPr="004D1001">
        <w:rPr>
          <w:i/>
          <w:iCs/>
        </w:rPr>
        <w:t>(unpublished data)</w:t>
      </w:r>
    </w:p>
  </w:footnote>
  <w:footnote w:id="7">
    <w:p w:rsidR="00044573" w:rsidRDefault="000445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World Health Organisation.</w:t>
      </w:r>
      <w:proofErr w:type="gramEnd"/>
      <w:r>
        <w:t xml:space="preserve"> 2016 (unpublished).</w:t>
      </w:r>
    </w:p>
  </w:footnote>
  <w:footnote w:id="8">
    <w:p w:rsidR="00044573" w:rsidRDefault="00044573" w:rsidP="00C105FE">
      <w:pPr>
        <w:pStyle w:val="FootnoteText"/>
      </w:pPr>
      <w:r>
        <w:rPr>
          <w:rStyle w:val="FootnoteReference"/>
        </w:rPr>
        <w:footnoteRef/>
      </w:r>
      <w:r>
        <w:t>Resik S et al</w:t>
      </w:r>
      <w:r w:rsidRPr="00B02119">
        <w:t xml:space="preserve">. </w:t>
      </w:r>
      <w:r>
        <w:t xml:space="preserve">2016 </w:t>
      </w:r>
      <w:r w:rsidRPr="00B02119">
        <w:rPr>
          <w:i/>
          <w:iCs/>
        </w:rPr>
        <w:t>(unpublished)</w:t>
      </w:r>
    </w:p>
  </w:footnote>
  <w:footnote w:id="9">
    <w:p w:rsidR="00044573" w:rsidRDefault="000445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787DA3">
        <w:rPr>
          <w:rFonts w:cs="Arial"/>
          <w:lang w:val="en-US"/>
        </w:rPr>
        <w:t>W</w:t>
      </w:r>
      <w:r>
        <w:rPr>
          <w:rFonts w:cs="Arial"/>
          <w:lang w:val="en-US"/>
        </w:rPr>
        <w:t>orld Health Organization</w:t>
      </w:r>
      <w:r w:rsidRPr="00787DA3">
        <w:rPr>
          <w:rFonts w:cs="Arial"/>
          <w:lang w:val="en-US"/>
        </w:rPr>
        <w:t>.</w:t>
      </w:r>
      <w:proofErr w:type="gramEnd"/>
      <w:r w:rsidRPr="00787DA3">
        <w:rPr>
          <w:rFonts w:cs="Arial"/>
          <w:lang w:val="en-US"/>
        </w:rPr>
        <w:t xml:space="preserve"> </w:t>
      </w:r>
      <w:r w:rsidRPr="00787DA3">
        <w:t xml:space="preserve">Meeting of the Strategic Advisory Group of Experts on </w:t>
      </w:r>
      <w:r>
        <w:t>I</w:t>
      </w:r>
      <w:r w:rsidRPr="00787DA3">
        <w:t>mmunization, April 2012 – conclusions and recommendations.</w:t>
      </w:r>
      <w:r w:rsidRPr="00787DA3">
        <w:rPr>
          <w:rFonts w:cs="Arial"/>
          <w:sz w:val="18"/>
          <w:szCs w:val="18"/>
          <w:lang w:val="en-US"/>
        </w:rPr>
        <w:t xml:space="preserve"> </w:t>
      </w:r>
      <w:r w:rsidRPr="00787DA3">
        <w:rPr>
          <w:rFonts w:cs="Arial"/>
          <w:lang w:val="en-US"/>
        </w:rPr>
        <w:t>Weekly Epidemiological Record 2012; 87 (21): 201-216.</w:t>
      </w:r>
    </w:p>
  </w:footnote>
  <w:footnote w:id="10">
    <w:p w:rsidR="00044573" w:rsidRDefault="00044573" w:rsidP="002C080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cs="Frutiger LT 57 Cn"/>
          <w:color w:val="000000"/>
          <w:lang w:val="en-US"/>
        </w:rPr>
        <w:t>Strategy Committee Meeting November 5</w:t>
      </w:r>
      <w:r w:rsidRPr="0084171D">
        <w:rPr>
          <w:rFonts w:cs="Frutiger LT 57 Cn"/>
          <w:color w:val="000000"/>
          <w:vertAlign w:val="superscript"/>
          <w:lang w:val="en-US"/>
        </w:rPr>
        <w:t>th</w:t>
      </w:r>
      <w:r>
        <w:rPr>
          <w:rFonts w:cs="Frutiger LT 57 Cn"/>
          <w:color w:val="000000"/>
          <w:lang w:val="en-US"/>
        </w:rPr>
        <w:t xml:space="preserve"> 2015 – Note for the Record </w:t>
      </w:r>
      <w:r w:rsidRPr="008D33DF">
        <w:rPr>
          <w:rFonts w:cs="Frutiger LT 57 Cn"/>
          <w:i/>
          <w:iCs/>
          <w:color w:val="000000"/>
          <w:lang w:val="en-US"/>
        </w:rPr>
        <w:t>(unpublished)</w:t>
      </w:r>
    </w:p>
  </w:footnote>
  <w:footnote w:id="11">
    <w:p w:rsidR="00044573" w:rsidRDefault="00044573" w:rsidP="002C080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cs="Frutiger LT 57 Cn"/>
          <w:color w:val="000000"/>
          <w:lang w:val="en-US"/>
        </w:rPr>
        <w:t>Strategy Committee Meeting February 11</w:t>
      </w:r>
      <w:r w:rsidRPr="0084171D">
        <w:rPr>
          <w:rFonts w:cs="Frutiger LT 57 Cn"/>
          <w:color w:val="000000"/>
          <w:vertAlign w:val="superscript"/>
          <w:lang w:val="en-US"/>
        </w:rPr>
        <w:t>th</w:t>
      </w:r>
      <w:r>
        <w:rPr>
          <w:rFonts w:cs="Frutiger LT 57 Cn"/>
          <w:color w:val="000000"/>
          <w:lang w:val="en-US"/>
        </w:rPr>
        <w:t xml:space="preserve"> 2016 – Note for the Record </w:t>
      </w:r>
      <w:r w:rsidRPr="008D33DF">
        <w:rPr>
          <w:rFonts w:cs="Frutiger LT 57 Cn"/>
          <w:i/>
          <w:iCs/>
          <w:color w:val="000000"/>
          <w:lang w:val="en-US"/>
        </w:rPr>
        <w:t>(unpublished)</w:t>
      </w:r>
    </w:p>
  </w:footnote>
  <w:footnote w:id="12">
    <w:p w:rsidR="00044573" w:rsidRPr="004D12E7" w:rsidRDefault="00044573" w:rsidP="004D12E7">
      <w:pPr>
        <w:spacing w:after="0" w:line="240" w:lineRule="auto"/>
        <w:rPr>
          <w:rFonts w:eastAsia="MS Mincho" w:cstheme="minorHAnsi"/>
          <w:b/>
          <w:bCs/>
          <w:sz w:val="20"/>
          <w:szCs w:val="20"/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 w:rsidRPr="004D12E7">
        <w:rPr>
          <w:sz w:val="20"/>
          <w:szCs w:val="20"/>
        </w:rPr>
        <w:t>World Health Organization.</w:t>
      </w:r>
      <w:proofErr w:type="gramEnd"/>
      <w:r w:rsidRPr="004D12E7">
        <w:rPr>
          <w:sz w:val="20"/>
          <w:szCs w:val="20"/>
        </w:rPr>
        <w:t xml:space="preserve"> </w:t>
      </w:r>
      <w:proofErr w:type="gramStart"/>
      <w:r>
        <w:rPr>
          <w:rFonts w:cstheme="minorHAnsi"/>
          <w:sz w:val="20"/>
          <w:szCs w:val="20"/>
        </w:rPr>
        <w:t>The Strategic Advisory Group of Experts on Immunization D</w:t>
      </w:r>
      <w:r>
        <w:rPr>
          <w:rFonts w:eastAsia="MS Mincho" w:cstheme="minorHAnsi" w:hint="eastAsia"/>
          <w:sz w:val="20"/>
          <w:szCs w:val="20"/>
          <w:lang w:eastAsia="ja-JP"/>
        </w:rPr>
        <w:t xml:space="preserve">iscussion on IPV </w:t>
      </w:r>
      <w:r>
        <w:rPr>
          <w:rFonts w:eastAsia="MS Mincho" w:cstheme="minorHAnsi"/>
          <w:sz w:val="20"/>
          <w:szCs w:val="20"/>
          <w:lang w:eastAsia="ja-JP"/>
        </w:rPr>
        <w:t>S</w:t>
      </w:r>
      <w:r>
        <w:rPr>
          <w:rFonts w:eastAsia="MS Mincho" w:cstheme="minorHAnsi" w:hint="eastAsia"/>
          <w:sz w:val="20"/>
          <w:szCs w:val="20"/>
          <w:lang w:eastAsia="ja-JP"/>
        </w:rPr>
        <w:t xml:space="preserve">upply </w:t>
      </w:r>
      <w:r>
        <w:rPr>
          <w:rFonts w:eastAsia="MS Mincho" w:cstheme="minorHAnsi"/>
          <w:sz w:val="20"/>
          <w:szCs w:val="20"/>
          <w:lang w:eastAsia="ja-JP"/>
        </w:rPr>
        <w:t xml:space="preserve">   S</w:t>
      </w:r>
      <w:r w:rsidRPr="004D12E7">
        <w:rPr>
          <w:rFonts w:eastAsia="MS Mincho" w:cstheme="minorHAnsi" w:hint="eastAsia"/>
          <w:sz w:val="20"/>
          <w:szCs w:val="20"/>
          <w:lang w:eastAsia="ja-JP"/>
        </w:rPr>
        <w:t>ituations</w:t>
      </w:r>
      <w:r>
        <w:rPr>
          <w:rFonts w:eastAsia="MS Mincho" w:cstheme="minorHAnsi"/>
          <w:sz w:val="20"/>
          <w:szCs w:val="20"/>
          <w:lang w:eastAsia="ja-JP"/>
        </w:rPr>
        <w:t>.</w:t>
      </w:r>
      <w:proofErr w:type="gramEnd"/>
      <w:r>
        <w:rPr>
          <w:rFonts w:eastAsia="MS Mincho" w:cstheme="minorHAnsi"/>
          <w:sz w:val="20"/>
          <w:szCs w:val="20"/>
          <w:lang w:eastAsia="ja-JP"/>
        </w:rPr>
        <w:t xml:space="preserve"> March 2016</w:t>
      </w:r>
      <w:r w:rsidRPr="004D12E7">
        <w:rPr>
          <w:i/>
          <w:iCs/>
          <w:sz w:val="20"/>
          <w:szCs w:val="20"/>
        </w:rPr>
        <w:t xml:space="preserve"> (unpublished)</w:t>
      </w:r>
    </w:p>
  </w:footnote>
  <w:footnote w:id="13">
    <w:p w:rsidR="00044573" w:rsidRDefault="000445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World Health Organiz</w:t>
      </w:r>
      <w:r w:rsidRPr="00E8331C">
        <w:t>ation.</w:t>
      </w:r>
      <w:proofErr w:type="gramEnd"/>
      <w:r w:rsidRPr="00E8331C">
        <w:t xml:space="preserve"> Polio Vaccines: WHO Position Paper</w:t>
      </w:r>
      <w:r>
        <w:t>,</w:t>
      </w:r>
      <w:r w:rsidRPr="00E8331C">
        <w:t xml:space="preserve"> March 2016.</w:t>
      </w:r>
      <w:r>
        <w:t xml:space="preserve"> </w:t>
      </w:r>
      <w:r w:rsidRPr="004D12E7">
        <w:rPr>
          <w:i/>
          <w:iCs/>
        </w:rPr>
        <w:t>(unpublished)</w:t>
      </w:r>
    </w:p>
  </w:footnote>
  <w:footnote w:id="14">
    <w:p w:rsidR="00044573" w:rsidRPr="00EB63B9" w:rsidRDefault="00044573" w:rsidP="00381C87">
      <w:pPr>
        <w:pStyle w:val="FootnoteText"/>
      </w:pPr>
      <w:r w:rsidRPr="00EB63B9">
        <w:rPr>
          <w:rStyle w:val="FootnoteReference"/>
        </w:rPr>
        <w:footnoteRef/>
      </w:r>
      <w:r w:rsidRPr="00EB63B9">
        <w:t xml:space="preserve"> </w:t>
      </w:r>
      <w:proofErr w:type="gramStart"/>
      <w:r>
        <w:rPr>
          <w:rFonts w:ascii="Calibri" w:hAnsi="Calibri"/>
          <w:shd w:val="clear" w:color="auto" w:fill="FFFFFF"/>
        </w:rPr>
        <w:t>Clarke</w:t>
      </w:r>
      <w:r w:rsidRPr="00EB63B9">
        <w:rPr>
          <w:rFonts w:ascii="Calibri" w:hAnsi="Calibri"/>
          <w:shd w:val="clear" w:color="auto" w:fill="FFFFFF"/>
        </w:rPr>
        <w:t xml:space="preserve"> E et al.</w:t>
      </w:r>
      <w:proofErr w:type="gramEnd"/>
      <w:r w:rsidRPr="00EB63B9">
        <w:rPr>
          <w:rFonts w:ascii="Calibri" w:hAnsi="Calibri"/>
          <w:shd w:val="clear" w:color="auto" w:fill="FFFFFF"/>
        </w:rPr>
        <w:t xml:space="preserve"> The safety and immunogenicity of the inactivated poliovirus vaccine when given concomitantly with the measles and rubella combined vaccine and yellow fever vaccine and when given via different administration routes: a phase 4, randomised, non-inferiority trial in The Gambia. 2016 </w:t>
      </w:r>
      <w:r w:rsidRPr="00EB63B9">
        <w:rPr>
          <w:rFonts w:ascii="Calibri" w:hAnsi="Calibri"/>
          <w:i/>
          <w:iCs/>
          <w:shd w:val="clear" w:color="auto" w:fill="FFFFFF"/>
        </w:rPr>
        <w:t>(unpublished)</w:t>
      </w:r>
    </w:p>
  </w:footnote>
  <w:footnote w:id="15">
    <w:p w:rsidR="00244C92" w:rsidRDefault="00244C92">
      <w:pPr>
        <w:pStyle w:val="FootnoteText"/>
      </w:pPr>
      <w:r>
        <w:rPr>
          <w:rStyle w:val="FootnoteReference"/>
        </w:rPr>
        <w:footnoteRef/>
      </w:r>
      <w:r>
        <w:t xml:space="preserve"> Resik</w:t>
      </w:r>
      <w:r w:rsidRPr="00E04F24">
        <w:t xml:space="preserve"> S et al. </w:t>
      </w:r>
      <w:r w:rsidRPr="00E04F24">
        <w:rPr>
          <w:rFonts w:cs="Arial"/>
        </w:rPr>
        <w:t>Immune responses after fractional doses of inactivated poliovirus vaccine using newly developed intradermal jet injectors: A randomized controlled trial in Cuba</w:t>
      </w:r>
      <w:r>
        <w:rPr>
          <w:rFonts w:cs="Arial"/>
        </w:rPr>
        <w:t>. Vaccine 2015; 33(2):307-313.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4D3E"/>
    <w:multiLevelType w:val="hybridMultilevel"/>
    <w:tmpl w:val="CBC0265A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D3507"/>
    <w:multiLevelType w:val="hybridMultilevel"/>
    <w:tmpl w:val="095C554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AF2872"/>
    <w:multiLevelType w:val="hybridMultilevel"/>
    <w:tmpl w:val="C9C41A20"/>
    <w:lvl w:ilvl="0" w:tplc="BB08B46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B74A9"/>
    <w:multiLevelType w:val="hybridMultilevel"/>
    <w:tmpl w:val="B150E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C32F7A"/>
    <w:multiLevelType w:val="hybridMultilevel"/>
    <w:tmpl w:val="0D8AD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A80F94"/>
    <w:multiLevelType w:val="hybridMultilevel"/>
    <w:tmpl w:val="C3ECD7D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5D7621"/>
    <w:multiLevelType w:val="hybridMultilevel"/>
    <w:tmpl w:val="325691DA"/>
    <w:lvl w:ilvl="0" w:tplc="08090017">
      <w:start w:val="1"/>
      <w:numFmt w:val="lowerLetter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FC2969"/>
    <w:multiLevelType w:val="hybridMultilevel"/>
    <w:tmpl w:val="A4D4F2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D6D22"/>
    <w:multiLevelType w:val="hybridMultilevel"/>
    <w:tmpl w:val="69C8A73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2711F"/>
    <w:multiLevelType w:val="hybridMultilevel"/>
    <w:tmpl w:val="E5A47F8E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7E060EA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1438B"/>
    <w:multiLevelType w:val="hybridMultilevel"/>
    <w:tmpl w:val="C92E6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F82FB0"/>
    <w:multiLevelType w:val="hybridMultilevel"/>
    <w:tmpl w:val="691E1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76793B"/>
    <w:multiLevelType w:val="hybridMultilevel"/>
    <w:tmpl w:val="3782D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60F24"/>
    <w:multiLevelType w:val="hybridMultilevel"/>
    <w:tmpl w:val="05EEE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3868CA"/>
    <w:multiLevelType w:val="hybridMultilevel"/>
    <w:tmpl w:val="AAB6A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A40B92"/>
    <w:multiLevelType w:val="multilevel"/>
    <w:tmpl w:val="40DEF3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2E036F9B"/>
    <w:multiLevelType w:val="hybridMultilevel"/>
    <w:tmpl w:val="B5261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7731F8"/>
    <w:multiLevelType w:val="hybridMultilevel"/>
    <w:tmpl w:val="5E3A60A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0B08E3"/>
    <w:multiLevelType w:val="hybridMultilevel"/>
    <w:tmpl w:val="1902E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444AFE"/>
    <w:multiLevelType w:val="hybridMultilevel"/>
    <w:tmpl w:val="78C48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654A11"/>
    <w:multiLevelType w:val="hybridMultilevel"/>
    <w:tmpl w:val="4D68D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B8513F"/>
    <w:multiLevelType w:val="hybridMultilevel"/>
    <w:tmpl w:val="4ACE1BF4"/>
    <w:lvl w:ilvl="0" w:tplc="059A2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AF101B"/>
    <w:multiLevelType w:val="hybridMultilevel"/>
    <w:tmpl w:val="2196D2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411C0"/>
    <w:multiLevelType w:val="hybridMultilevel"/>
    <w:tmpl w:val="0958CF7A"/>
    <w:lvl w:ilvl="0" w:tplc="E14E1F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2566DC"/>
    <w:multiLevelType w:val="hybridMultilevel"/>
    <w:tmpl w:val="513E3BAA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A7EBB"/>
    <w:multiLevelType w:val="hybridMultilevel"/>
    <w:tmpl w:val="1FDE0E2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B62B0F"/>
    <w:multiLevelType w:val="hybridMultilevel"/>
    <w:tmpl w:val="1BE22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D5570A"/>
    <w:multiLevelType w:val="hybridMultilevel"/>
    <w:tmpl w:val="D56C4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5935F2"/>
    <w:multiLevelType w:val="hybridMultilevel"/>
    <w:tmpl w:val="6756E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774DFE"/>
    <w:multiLevelType w:val="hybridMultilevel"/>
    <w:tmpl w:val="A4D4F2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FF7D52"/>
    <w:multiLevelType w:val="hybridMultilevel"/>
    <w:tmpl w:val="28966EE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2711F7"/>
    <w:multiLevelType w:val="hybridMultilevel"/>
    <w:tmpl w:val="D9F060AC"/>
    <w:lvl w:ilvl="0" w:tplc="3708B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08C202A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EastAsia" w:hAnsiTheme="minorHAnsi" w:cstheme="minorBidi"/>
        <w:b w:val="0"/>
        <w:bCs w:val="0"/>
      </w:rPr>
    </w:lvl>
    <w:lvl w:ilvl="2" w:tplc="0ECCF65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36D4F5D0">
      <w:start w:val="5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633939"/>
    <w:multiLevelType w:val="hybridMultilevel"/>
    <w:tmpl w:val="F850A4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CF433F"/>
    <w:multiLevelType w:val="hybridMultilevel"/>
    <w:tmpl w:val="E14824D8"/>
    <w:lvl w:ilvl="0" w:tplc="7B782A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28121E"/>
    <w:multiLevelType w:val="hybridMultilevel"/>
    <w:tmpl w:val="66949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5F56F2"/>
    <w:multiLevelType w:val="hybridMultilevel"/>
    <w:tmpl w:val="9700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EC206A"/>
    <w:multiLevelType w:val="hybridMultilevel"/>
    <w:tmpl w:val="81F88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705C82"/>
    <w:multiLevelType w:val="hybridMultilevel"/>
    <w:tmpl w:val="690A4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DD2437"/>
    <w:multiLevelType w:val="hybridMultilevel"/>
    <w:tmpl w:val="1CF08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7C0159"/>
    <w:multiLevelType w:val="hybridMultilevel"/>
    <w:tmpl w:val="D3C6E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9C0EB7"/>
    <w:multiLevelType w:val="hybridMultilevel"/>
    <w:tmpl w:val="468CC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D62B9A"/>
    <w:multiLevelType w:val="hybridMultilevel"/>
    <w:tmpl w:val="74E4B99E"/>
    <w:lvl w:ilvl="0" w:tplc="557621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D1C07"/>
    <w:multiLevelType w:val="hybridMultilevel"/>
    <w:tmpl w:val="C40A5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DF2479"/>
    <w:multiLevelType w:val="hybridMultilevel"/>
    <w:tmpl w:val="5A6AF2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FA4F32"/>
    <w:multiLevelType w:val="hybridMultilevel"/>
    <w:tmpl w:val="D02A8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F73863"/>
    <w:multiLevelType w:val="hybridMultilevel"/>
    <w:tmpl w:val="F6547AF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5"/>
  </w:num>
  <w:num w:numId="3">
    <w:abstractNumId w:val="9"/>
  </w:num>
  <w:num w:numId="4">
    <w:abstractNumId w:val="6"/>
  </w:num>
  <w:num w:numId="5">
    <w:abstractNumId w:val="7"/>
  </w:num>
  <w:num w:numId="6">
    <w:abstractNumId w:val="17"/>
  </w:num>
  <w:num w:numId="7">
    <w:abstractNumId w:val="8"/>
  </w:num>
  <w:num w:numId="8">
    <w:abstractNumId w:val="31"/>
  </w:num>
  <w:num w:numId="9">
    <w:abstractNumId w:val="41"/>
  </w:num>
  <w:num w:numId="10">
    <w:abstractNumId w:val="21"/>
  </w:num>
  <w:num w:numId="11">
    <w:abstractNumId w:val="1"/>
  </w:num>
  <w:num w:numId="12">
    <w:abstractNumId w:val="23"/>
  </w:num>
  <w:num w:numId="13">
    <w:abstractNumId w:val="33"/>
  </w:num>
  <w:num w:numId="14">
    <w:abstractNumId w:val="45"/>
  </w:num>
  <w:num w:numId="15">
    <w:abstractNumId w:val="43"/>
  </w:num>
  <w:num w:numId="16">
    <w:abstractNumId w:val="27"/>
  </w:num>
  <w:num w:numId="17">
    <w:abstractNumId w:val="19"/>
  </w:num>
  <w:num w:numId="18">
    <w:abstractNumId w:val="18"/>
  </w:num>
  <w:num w:numId="19">
    <w:abstractNumId w:val="40"/>
  </w:num>
  <w:num w:numId="20">
    <w:abstractNumId w:val="11"/>
  </w:num>
  <w:num w:numId="21">
    <w:abstractNumId w:val="20"/>
  </w:num>
  <w:num w:numId="22">
    <w:abstractNumId w:val="37"/>
  </w:num>
  <w:num w:numId="23">
    <w:abstractNumId w:val="35"/>
  </w:num>
  <w:num w:numId="24">
    <w:abstractNumId w:val="38"/>
  </w:num>
  <w:num w:numId="25">
    <w:abstractNumId w:val="2"/>
  </w:num>
  <w:num w:numId="26">
    <w:abstractNumId w:val="13"/>
  </w:num>
  <w:num w:numId="27">
    <w:abstractNumId w:val="39"/>
  </w:num>
  <w:num w:numId="28">
    <w:abstractNumId w:val="14"/>
  </w:num>
  <w:num w:numId="29">
    <w:abstractNumId w:val="3"/>
  </w:num>
  <w:num w:numId="30">
    <w:abstractNumId w:val="28"/>
  </w:num>
  <w:num w:numId="31">
    <w:abstractNumId w:val="34"/>
  </w:num>
  <w:num w:numId="32">
    <w:abstractNumId w:val="29"/>
  </w:num>
  <w:num w:numId="33">
    <w:abstractNumId w:val="26"/>
  </w:num>
  <w:num w:numId="34">
    <w:abstractNumId w:val="36"/>
  </w:num>
  <w:num w:numId="35">
    <w:abstractNumId w:val="12"/>
  </w:num>
  <w:num w:numId="36">
    <w:abstractNumId w:val="16"/>
  </w:num>
  <w:num w:numId="37">
    <w:abstractNumId w:val="24"/>
  </w:num>
  <w:num w:numId="38">
    <w:abstractNumId w:val="0"/>
  </w:num>
  <w:num w:numId="39">
    <w:abstractNumId w:val="4"/>
  </w:num>
  <w:num w:numId="40">
    <w:abstractNumId w:val="25"/>
  </w:num>
  <w:num w:numId="41">
    <w:abstractNumId w:val="22"/>
  </w:num>
  <w:num w:numId="42">
    <w:abstractNumId w:val="42"/>
  </w:num>
  <w:num w:numId="43">
    <w:abstractNumId w:val="10"/>
  </w:num>
  <w:num w:numId="44">
    <w:abstractNumId w:val="32"/>
  </w:num>
  <w:num w:numId="45">
    <w:abstractNumId w:val="15"/>
  </w:num>
  <w:num w:numId="46">
    <w:abstractNumId w:val="4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070"/>
    <w:rsid w:val="00012A5E"/>
    <w:rsid w:val="0001731E"/>
    <w:rsid w:val="00023411"/>
    <w:rsid w:val="00027BB2"/>
    <w:rsid w:val="00044573"/>
    <w:rsid w:val="00067CC3"/>
    <w:rsid w:val="00071AAB"/>
    <w:rsid w:val="00092DCB"/>
    <w:rsid w:val="000A0DC8"/>
    <w:rsid w:val="000A550F"/>
    <w:rsid w:val="000A6943"/>
    <w:rsid w:val="000B1185"/>
    <w:rsid w:val="000B2E04"/>
    <w:rsid w:val="000C5E02"/>
    <w:rsid w:val="000D4AEA"/>
    <w:rsid w:val="000E1135"/>
    <w:rsid w:val="000E53DF"/>
    <w:rsid w:val="000F1290"/>
    <w:rsid w:val="000F6839"/>
    <w:rsid w:val="00101EDF"/>
    <w:rsid w:val="001109B4"/>
    <w:rsid w:val="00113EC2"/>
    <w:rsid w:val="00124FA1"/>
    <w:rsid w:val="00134A36"/>
    <w:rsid w:val="0013519B"/>
    <w:rsid w:val="001468F4"/>
    <w:rsid w:val="00147A75"/>
    <w:rsid w:val="00151320"/>
    <w:rsid w:val="0017132E"/>
    <w:rsid w:val="0017362F"/>
    <w:rsid w:val="00186FC9"/>
    <w:rsid w:val="0019115E"/>
    <w:rsid w:val="00196E80"/>
    <w:rsid w:val="001A4CC8"/>
    <w:rsid w:val="001A6FD4"/>
    <w:rsid w:val="001B32FF"/>
    <w:rsid w:val="001B7D67"/>
    <w:rsid w:val="001C102C"/>
    <w:rsid w:val="001C6401"/>
    <w:rsid w:val="001C7279"/>
    <w:rsid w:val="001D0C32"/>
    <w:rsid w:val="001D1B5B"/>
    <w:rsid w:val="001D1CF5"/>
    <w:rsid w:val="001D670B"/>
    <w:rsid w:val="001D6CBC"/>
    <w:rsid w:val="001E16BF"/>
    <w:rsid w:val="001E485D"/>
    <w:rsid w:val="001E658E"/>
    <w:rsid w:val="001F2E3B"/>
    <w:rsid w:val="00201C0A"/>
    <w:rsid w:val="00224F7D"/>
    <w:rsid w:val="00231F34"/>
    <w:rsid w:val="0023366D"/>
    <w:rsid w:val="00242EBA"/>
    <w:rsid w:val="00244056"/>
    <w:rsid w:val="00244C92"/>
    <w:rsid w:val="002518EC"/>
    <w:rsid w:val="00251B23"/>
    <w:rsid w:val="002554F6"/>
    <w:rsid w:val="002556BF"/>
    <w:rsid w:val="00256154"/>
    <w:rsid w:val="0027237A"/>
    <w:rsid w:val="00285E1F"/>
    <w:rsid w:val="0029058D"/>
    <w:rsid w:val="002A6C6C"/>
    <w:rsid w:val="002B51F1"/>
    <w:rsid w:val="002B5816"/>
    <w:rsid w:val="002B5CF7"/>
    <w:rsid w:val="002B5F1B"/>
    <w:rsid w:val="002C0807"/>
    <w:rsid w:val="002C33B7"/>
    <w:rsid w:val="002E1603"/>
    <w:rsid w:val="002E3733"/>
    <w:rsid w:val="002F5FCF"/>
    <w:rsid w:val="002F7C87"/>
    <w:rsid w:val="003115DD"/>
    <w:rsid w:val="00317D6E"/>
    <w:rsid w:val="00320B6F"/>
    <w:rsid w:val="00335834"/>
    <w:rsid w:val="00335D94"/>
    <w:rsid w:val="003360A2"/>
    <w:rsid w:val="00345540"/>
    <w:rsid w:val="003522A3"/>
    <w:rsid w:val="003640BB"/>
    <w:rsid w:val="003663A1"/>
    <w:rsid w:val="00373838"/>
    <w:rsid w:val="00375F5D"/>
    <w:rsid w:val="00381C87"/>
    <w:rsid w:val="00397A3A"/>
    <w:rsid w:val="003B76A5"/>
    <w:rsid w:val="003C0749"/>
    <w:rsid w:val="003C3993"/>
    <w:rsid w:val="003C3A0A"/>
    <w:rsid w:val="003C7BB3"/>
    <w:rsid w:val="003D63FB"/>
    <w:rsid w:val="003D6D76"/>
    <w:rsid w:val="003D73E8"/>
    <w:rsid w:val="004000DD"/>
    <w:rsid w:val="0040539C"/>
    <w:rsid w:val="00407BEF"/>
    <w:rsid w:val="004101F3"/>
    <w:rsid w:val="00416760"/>
    <w:rsid w:val="0044423F"/>
    <w:rsid w:val="004445FF"/>
    <w:rsid w:val="00460798"/>
    <w:rsid w:val="00466181"/>
    <w:rsid w:val="004700E7"/>
    <w:rsid w:val="00470217"/>
    <w:rsid w:val="00470FDE"/>
    <w:rsid w:val="00473DE7"/>
    <w:rsid w:val="00491F98"/>
    <w:rsid w:val="0049500A"/>
    <w:rsid w:val="004A243C"/>
    <w:rsid w:val="004A5785"/>
    <w:rsid w:val="004A777F"/>
    <w:rsid w:val="004B088C"/>
    <w:rsid w:val="004B61E1"/>
    <w:rsid w:val="004B7377"/>
    <w:rsid w:val="004D1001"/>
    <w:rsid w:val="004D12E7"/>
    <w:rsid w:val="004E135C"/>
    <w:rsid w:val="00503A45"/>
    <w:rsid w:val="00512592"/>
    <w:rsid w:val="0052194A"/>
    <w:rsid w:val="00524CE5"/>
    <w:rsid w:val="00561B80"/>
    <w:rsid w:val="005815DA"/>
    <w:rsid w:val="00581710"/>
    <w:rsid w:val="005833D4"/>
    <w:rsid w:val="00583AAB"/>
    <w:rsid w:val="005865CF"/>
    <w:rsid w:val="005B3C8B"/>
    <w:rsid w:val="005B5F2F"/>
    <w:rsid w:val="005D6514"/>
    <w:rsid w:val="006102BF"/>
    <w:rsid w:val="006117DE"/>
    <w:rsid w:val="00615B05"/>
    <w:rsid w:val="0061612C"/>
    <w:rsid w:val="00624808"/>
    <w:rsid w:val="00631CF8"/>
    <w:rsid w:val="00640CD4"/>
    <w:rsid w:val="0064658B"/>
    <w:rsid w:val="00647340"/>
    <w:rsid w:val="006663DB"/>
    <w:rsid w:val="00672DBF"/>
    <w:rsid w:val="00687FAB"/>
    <w:rsid w:val="00692FBE"/>
    <w:rsid w:val="006B1631"/>
    <w:rsid w:val="006B3706"/>
    <w:rsid w:val="006B5315"/>
    <w:rsid w:val="006C5EC7"/>
    <w:rsid w:val="006D350F"/>
    <w:rsid w:val="006E4FB9"/>
    <w:rsid w:val="006E59CE"/>
    <w:rsid w:val="006F7BD2"/>
    <w:rsid w:val="007021A3"/>
    <w:rsid w:val="007112AC"/>
    <w:rsid w:val="00711604"/>
    <w:rsid w:val="00713981"/>
    <w:rsid w:val="0071773E"/>
    <w:rsid w:val="00717762"/>
    <w:rsid w:val="00736F41"/>
    <w:rsid w:val="00743C2F"/>
    <w:rsid w:val="00752A77"/>
    <w:rsid w:val="007733DA"/>
    <w:rsid w:val="00781BAA"/>
    <w:rsid w:val="0078368B"/>
    <w:rsid w:val="00787DA3"/>
    <w:rsid w:val="007A7FEF"/>
    <w:rsid w:val="007B5B05"/>
    <w:rsid w:val="007B69E8"/>
    <w:rsid w:val="007C292B"/>
    <w:rsid w:val="007C513A"/>
    <w:rsid w:val="007D0305"/>
    <w:rsid w:val="007D72CD"/>
    <w:rsid w:val="007E2763"/>
    <w:rsid w:val="008060F7"/>
    <w:rsid w:val="00807EBC"/>
    <w:rsid w:val="0082518A"/>
    <w:rsid w:val="00831380"/>
    <w:rsid w:val="00831944"/>
    <w:rsid w:val="008349AE"/>
    <w:rsid w:val="00835960"/>
    <w:rsid w:val="0084171D"/>
    <w:rsid w:val="00845872"/>
    <w:rsid w:val="00847202"/>
    <w:rsid w:val="008811AF"/>
    <w:rsid w:val="008816D7"/>
    <w:rsid w:val="0088790C"/>
    <w:rsid w:val="0089128D"/>
    <w:rsid w:val="008A1C11"/>
    <w:rsid w:val="008A54A5"/>
    <w:rsid w:val="008A721F"/>
    <w:rsid w:val="008B1A62"/>
    <w:rsid w:val="008B68EA"/>
    <w:rsid w:val="008D0DFD"/>
    <w:rsid w:val="008D33DF"/>
    <w:rsid w:val="008D3795"/>
    <w:rsid w:val="008E3AF5"/>
    <w:rsid w:val="008E6963"/>
    <w:rsid w:val="008F0BC7"/>
    <w:rsid w:val="008F42EF"/>
    <w:rsid w:val="008F5A80"/>
    <w:rsid w:val="008F7980"/>
    <w:rsid w:val="009017BD"/>
    <w:rsid w:val="009023C2"/>
    <w:rsid w:val="009055F8"/>
    <w:rsid w:val="00911EC8"/>
    <w:rsid w:val="009135C9"/>
    <w:rsid w:val="00923608"/>
    <w:rsid w:val="0093313A"/>
    <w:rsid w:val="0096034F"/>
    <w:rsid w:val="009705B4"/>
    <w:rsid w:val="00977B63"/>
    <w:rsid w:val="00992B9D"/>
    <w:rsid w:val="009A1FFD"/>
    <w:rsid w:val="009A5619"/>
    <w:rsid w:val="009A57F1"/>
    <w:rsid w:val="009B0DBC"/>
    <w:rsid w:val="009C3697"/>
    <w:rsid w:val="009C451E"/>
    <w:rsid w:val="009D5924"/>
    <w:rsid w:val="009E4C79"/>
    <w:rsid w:val="009E5B6D"/>
    <w:rsid w:val="009F234D"/>
    <w:rsid w:val="00A01A53"/>
    <w:rsid w:val="00A108DE"/>
    <w:rsid w:val="00A10A83"/>
    <w:rsid w:val="00A15070"/>
    <w:rsid w:val="00A25C35"/>
    <w:rsid w:val="00A32E0A"/>
    <w:rsid w:val="00A3556C"/>
    <w:rsid w:val="00A642FD"/>
    <w:rsid w:val="00A65150"/>
    <w:rsid w:val="00A657BD"/>
    <w:rsid w:val="00A714BE"/>
    <w:rsid w:val="00A73613"/>
    <w:rsid w:val="00A845C8"/>
    <w:rsid w:val="00A95852"/>
    <w:rsid w:val="00A96E2B"/>
    <w:rsid w:val="00AB6C00"/>
    <w:rsid w:val="00AD1450"/>
    <w:rsid w:val="00AE0543"/>
    <w:rsid w:val="00B02119"/>
    <w:rsid w:val="00B05B32"/>
    <w:rsid w:val="00B332C3"/>
    <w:rsid w:val="00B3619C"/>
    <w:rsid w:val="00B43193"/>
    <w:rsid w:val="00B46DAF"/>
    <w:rsid w:val="00B660EC"/>
    <w:rsid w:val="00B706F7"/>
    <w:rsid w:val="00B73AF2"/>
    <w:rsid w:val="00BA4455"/>
    <w:rsid w:val="00BB3090"/>
    <w:rsid w:val="00BB5932"/>
    <w:rsid w:val="00BB6097"/>
    <w:rsid w:val="00BC12DB"/>
    <w:rsid w:val="00BD235E"/>
    <w:rsid w:val="00BE2ECE"/>
    <w:rsid w:val="00BE3C36"/>
    <w:rsid w:val="00BF4DD8"/>
    <w:rsid w:val="00C04460"/>
    <w:rsid w:val="00C10104"/>
    <w:rsid w:val="00C105FE"/>
    <w:rsid w:val="00C12A28"/>
    <w:rsid w:val="00C13CE2"/>
    <w:rsid w:val="00C14F28"/>
    <w:rsid w:val="00C34BC2"/>
    <w:rsid w:val="00C37EA5"/>
    <w:rsid w:val="00C525B3"/>
    <w:rsid w:val="00C52E6E"/>
    <w:rsid w:val="00C7470A"/>
    <w:rsid w:val="00C74DF9"/>
    <w:rsid w:val="00C81632"/>
    <w:rsid w:val="00C945EC"/>
    <w:rsid w:val="00CA6036"/>
    <w:rsid w:val="00CB57D4"/>
    <w:rsid w:val="00CB6480"/>
    <w:rsid w:val="00CC69EE"/>
    <w:rsid w:val="00CD22FC"/>
    <w:rsid w:val="00CD2D15"/>
    <w:rsid w:val="00CD4F1D"/>
    <w:rsid w:val="00CE2AFB"/>
    <w:rsid w:val="00CF28F1"/>
    <w:rsid w:val="00CF7A45"/>
    <w:rsid w:val="00D01CF4"/>
    <w:rsid w:val="00D06A4A"/>
    <w:rsid w:val="00D264BD"/>
    <w:rsid w:val="00D30449"/>
    <w:rsid w:val="00D3655B"/>
    <w:rsid w:val="00D36A2C"/>
    <w:rsid w:val="00D4330F"/>
    <w:rsid w:val="00D47C15"/>
    <w:rsid w:val="00D5230C"/>
    <w:rsid w:val="00D53BE7"/>
    <w:rsid w:val="00D57522"/>
    <w:rsid w:val="00D641A9"/>
    <w:rsid w:val="00D674C2"/>
    <w:rsid w:val="00D723D4"/>
    <w:rsid w:val="00D74121"/>
    <w:rsid w:val="00D752A4"/>
    <w:rsid w:val="00D7532F"/>
    <w:rsid w:val="00D75490"/>
    <w:rsid w:val="00D85FEF"/>
    <w:rsid w:val="00D86BFE"/>
    <w:rsid w:val="00D95E40"/>
    <w:rsid w:val="00DA256C"/>
    <w:rsid w:val="00DA5112"/>
    <w:rsid w:val="00DB2560"/>
    <w:rsid w:val="00DB2A66"/>
    <w:rsid w:val="00DB2A72"/>
    <w:rsid w:val="00DC23EE"/>
    <w:rsid w:val="00DC2A9B"/>
    <w:rsid w:val="00DF1970"/>
    <w:rsid w:val="00E00232"/>
    <w:rsid w:val="00E005B6"/>
    <w:rsid w:val="00E04F24"/>
    <w:rsid w:val="00E16492"/>
    <w:rsid w:val="00E37C2D"/>
    <w:rsid w:val="00E42A7F"/>
    <w:rsid w:val="00E505AA"/>
    <w:rsid w:val="00E52E91"/>
    <w:rsid w:val="00E5350E"/>
    <w:rsid w:val="00E56BA3"/>
    <w:rsid w:val="00E6041B"/>
    <w:rsid w:val="00E730DB"/>
    <w:rsid w:val="00E8331C"/>
    <w:rsid w:val="00E85815"/>
    <w:rsid w:val="00E87CA3"/>
    <w:rsid w:val="00E92EF4"/>
    <w:rsid w:val="00EA1147"/>
    <w:rsid w:val="00EA6014"/>
    <w:rsid w:val="00EB3F9D"/>
    <w:rsid w:val="00EB4053"/>
    <w:rsid w:val="00EB6245"/>
    <w:rsid w:val="00EC4ED1"/>
    <w:rsid w:val="00ED2E83"/>
    <w:rsid w:val="00EE2D1E"/>
    <w:rsid w:val="00EE56DA"/>
    <w:rsid w:val="00EE61AF"/>
    <w:rsid w:val="00EF5E15"/>
    <w:rsid w:val="00F07338"/>
    <w:rsid w:val="00F1482E"/>
    <w:rsid w:val="00F34545"/>
    <w:rsid w:val="00F369ED"/>
    <w:rsid w:val="00F4463F"/>
    <w:rsid w:val="00F562E3"/>
    <w:rsid w:val="00F63563"/>
    <w:rsid w:val="00F6365C"/>
    <w:rsid w:val="00F74B35"/>
    <w:rsid w:val="00F84A64"/>
    <w:rsid w:val="00F84F93"/>
    <w:rsid w:val="00F861CC"/>
    <w:rsid w:val="00F903E8"/>
    <w:rsid w:val="00F9143B"/>
    <w:rsid w:val="00F91DD9"/>
    <w:rsid w:val="00F92407"/>
    <w:rsid w:val="00FC73E2"/>
    <w:rsid w:val="00FD14B9"/>
    <w:rsid w:val="00FF59DF"/>
    <w:rsid w:val="00FF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04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1C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1C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14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445FF"/>
  </w:style>
  <w:style w:type="character" w:styleId="CommentReference">
    <w:name w:val="annotation reference"/>
    <w:basedOn w:val="DefaultParagraphFont"/>
    <w:uiPriority w:val="99"/>
    <w:semiHidden/>
    <w:unhideWhenUsed/>
    <w:rsid w:val="009023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3C2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3C2"/>
    <w:rPr>
      <w:rFonts w:eastAsiaTheme="minorHAnsi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3C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232"/>
    <w:rPr>
      <w:rFonts w:eastAsiaTheme="minorEastAsia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232"/>
    <w:rPr>
      <w:rFonts w:eastAsiaTheme="minorHAnsi"/>
      <w:b/>
      <w:bCs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CF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5E0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3522A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522A3"/>
    <w:rPr>
      <w:rFonts w:eastAsiaTheme="minorHAnsi"/>
      <w:sz w:val="20"/>
      <w:szCs w:val="20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080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080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C0807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2C0807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E04F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Revision">
    <w:name w:val="Revision"/>
    <w:hidden/>
    <w:uiPriority w:val="99"/>
    <w:semiHidden/>
    <w:rsid w:val="004D12E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365C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F914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1D1C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D1C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1D1CF5"/>
    <w:rPr>
      <w:color w:val="800080"/>
      <w:u w:val="single"/>
    </w:rPr>
  </w:style>
  <w:style w:type="character" w:customStyle="1" w:styleId="collapsetext">
    <w:name w:val="collapsetext"/>
    <w:basedOn w:val="DefaultParagraphFont"/>
    <w:rsid w:val="001D1CF5"/>
  </w:style>
  <w:style w:type="character" w:customStyle="1" w:styleId="showinfo">
    <w:name w:val="showinfo"/>
    <w:basedOn w:val="DefaultParagraphFont"/>
    <w:rsid w:val="001D1CF5"/>
  </w:style>
  <w:style w:type="character" w:customStyle="1" w:styleId="outtext">
    <w:name w:val="outtext"/>
    <w:basedOn w:val="DefaultParagraphFont"/>
    <w:rsid w:val="001D1CF5"/>
  </w:style>
  <w:style w:type="character" w:customStyle="1" w:styleId="articleoastatus">
    <w:name w:val="articleoastatus"/>
    <w:basedOn w:val="DefaultParagraphFont"/>
    <w:rsid w:val="001D1CF5"/>
  </w:style>
  <w:style w:type="paragraph" w:customStyle="1" w:styleId="svarticle">
    <w:name w:val="svarticle"/>
    <w:basedOn w:val="Normal"/>
    <w:rsid w:val="001D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D1CF5"/>
    <w:rPr>
      <w:i/>
      <w:iCs/>
    </w:rPr>
  </w:style>
  <w:style w:type="character" w:customStyle="1" w:styleId="label">
    <w:name w:val="label"/>
    <w:basedOn w:val="DefaultParagraphFont"/>
    <w:rsid w:val="001D1CF5"/>
  </w:style>
  <w:style w:type="paragraph" w:customStyle="1" w:styleId="legend">
    <w:name w:val="legend"/>
    <w:basedOn w:val="Normal"/>
    <w:rsid w:val="001D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edby">
    <w:name w:val="citedby_"/>
    <w:basedOn w:val="DefaultParagraphFont"/>
    <w:rsid w:val="001D1CF5"/>
  </w:style>
  <w:style w:type="character" w:customStyle="1" w:styleId="pdficonsmall">
    <w:name w:val="pdficonsmall"/>
    <w:basedOn w:val="DefaultParagraphFont"/>
    <w:rsid w:val="001D1CF5"/>
  </w:style>
  <w:style w:type="character" w:customStyle="1" w:styleId="interref">
    <w:name w:val="interref"/>
    <w:basedOn w:val="DefaultParagraphFont"/>
    <w:rsid w:val="001D1CF5"/>
  </w:style>
  <w:style w:type="paragraph" w:customStyle="1" w:styleId="authors">
    <w:name w:val="authors"/>
    <w:basedOn w:val="Normal"/>
    <w:rsid w:val="001D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ulltextlink">
    <w:name w:val="fulltextlink"/>
    <w:basedOn w:val="Normal"/>
    <w:rsid w:val="001D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f">
    <w:name w:val="ref"/>
    <w:basedOn w:val="DefaultParagraphFont"/>
    <w:rsid w:val="001D1CF5"/>
  </w:style>
  <w:style w:type="character" w:customStyle="1" w:styleId="table">
    <w:name w:val="table"/>
    <w:basedOn w:val="DefaultParagraphFont"/>
    <w:rsid w:val="001D1CF5"/>
  </w:style>
  <w:style w:type="character" w:customStyle="1" w:styleId="figuretitle">
    <w:name w:val="figuretitle"/>
    <w:basedOn w:val="DefaultParagraphFont"/>
    <w:rsid w:val="001D1CF5"/>
  </w:style>
  <w:style w:type="character" w:customStyle="1" w:styleId="figurecaption">
    <w:name w:val="figurecaption"/>
    <w:basedOn w:val="DefaultParagraphFont"/>
    <w:rsid w:val="001D1CF5"/>
  </w:style>
  <w:style w:type="paragraph" w:styleId="Header">
    <w:name w:val="header"/>
    <w:basedOn w:val="Normal"/>
    <w:link w:val="HeaderChar"/>
    <w:uiPriority w:val="99"/>
    <w:unhideWhenUsed/>
    <w:rsid w:val="001D1C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1CF5"/>
  </w:style>
  <w:style w:type="paragraph" w:styleId="Footer">
    <w:name w:val="footer"/>
    <w:basedOn w:val="Normal"/>
    <w:link w:val="FooterChar"/>
    <w:uiPriority w:val="99"/>
    <w:unhideWhenUsed/>
    <w:rsid w:val="001D1C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CF5"/>
  </w:style>
  <w:style w:type="numbering" w:customStyle="1" w:styleId="NoList1">
    <w:name w:val="No List1"/>
    <w:next w:val="NoList"/>
    <w:uiPriority w:val="99"/>
    <w:semiHidden/>
    <w:unhideWhenUsed/>
    <w:rsid w:val="00F861CC"/>
  </w:style>
  <w:style w:type="table" w:customStyle="1" w:styleId="TableGrid1">
    <w:name w:val="Table Grid1"/>
    <w:basedOn w:val="TableNormal"/>
    <w:next w:val="TableGrid"/>
    <w:uiPriority w:val="59"/>
    <w:rsid w:val="00F86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F861CC"/>
    <w:pPr>
      <w:spacing w:after="0" w:line="240" w:lineRule="auto"/>
    </w:pPr>
    <w:rPr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861CC"/>
    <w:pPr>
      <w:spacing w:after="0" w:line="240" w:lineRule="auto"/>
    </w:pPr>
    <w:rPr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861CC"/>
    <w:pPr>
      <w:spacing w:after="0" w:line="240" w:lineRule="auto"/>
    </w:pPr>
    <w:rPr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861CC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lang w:val="nl-NL" w:eastAsia="nl-NL"/>
    </w:rPr>
  </w:style>
  <w:style w:type="character" w:customStyle="1" w:styleId="BodyTextChar">
    <w:name w:val="Body Text Char"/>
    <w:basedOn w:val="DefaultParagraphFont"/>
    <w:link w:val="BodyText"/>
    <w:rsid w:val="00F861CC"/>
    <w:rPr>
      <w:rFonts w:ascii="Arial" w:eastAsia="Times New Roman" w:hAnsi="Arial" w:cs="Times New Roman"/>
      <w:sz w:val="20"/>
      <w:lang w:val="nl-NL" w:eastAsia="nl-NL"/>
    </w:rPr>
  </w:style>
  <w:style w:type="paragraph" w:customStyle="1" w:styleId="BodyText1">
    <w:name w:val="Body Text1"/>
    <w:basedOn w:val="Normal"/>
    <w:link w:val="bodytextChar2"/>
    <w:rsid w:val="00F861CC"/>
    <w:pPr>
      <w:spacing w:after="120" w:line="360" w:lineRule="auto"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bodytextChar2">
    <w:name w:val="body text Char2"/>
    <w:basedOn w:val="DefaultParagraphFont"/>
    <w:link w:val="BodyText1"/>
    <w:rsid w:val="00F861CC"/>
    <w:rPr>
      <w:rFonts w:ascii="Arial" w:eastAsia="Times New Roman" w:hAnsi="Arial" w:cs="Times New Roma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861CC"/>
    <w:pPr>
      <w:spacing w:after="0"/>
    </w:pPr>
  </w:style>
  <w:style w:type="table" w:customStyle="1" w:styleId="TableGrid4">
    <w:name w:val="Table Grid4"/>
    <w:basedOn w:val="TableNormal"/>
    <w:next w:val="TableGrid"/>
    <w:uiPriority w:val="39"/>
    <w:rsid w:val="00F861C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861C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F861CC"/>
    <w:pPr>
      <w:spacing w:after="100"/>
      <w:ind w:left="220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F861CC"/>
    <w:pPr>
      <w:spacing w:after="100"/>
    </w:pPr>
    <w:rPr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F861CC"/>
    <w:pPr>
      <w:spacing w:after="100"/>
      <w:ind w:left="440"/>
    </w:pPr>
    <w:rPr>
      <w:lang w:val="en-US" w:eastAsia="ja-JP"/>
    </w:rPr>
  </w:style>
  <w:style w:type="table" w:customStyle="1" w:styleId="TableGrid5">
    <w:name w:val="Table Grid5"/>
    <w:basedOn w:val="TableNormal"/>
    <w:next w:val="TableGrid"/>
    <w:uiPriority w:val="39"/>
    <w:rsid w:val="00F861C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F861C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861C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861CC"/>
    <w:pPr>
      <w:spacing w:after="0" w:line="240" w:lineRule="auto"/>
    </w:pPr>
    <w:rPr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861CC"/>
    <w:rPr>
      <w:lang w:val="en-US" w:eastAsia="ja-JP"/>
    </w:rPr>
  </w:style>
  <w:style w:type="table" w:customStyle="1" w:styleId="TableGrid8">
    <w:name w:val="Table Grid8"/>
    <w:basedOn w:val="TableNormal"/>
    <w:next w:val="TableGrid"/>
    <w:uiPriority w:val="39"/>
    <w:rsid w:val="00F861C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7D0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04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1C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1C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14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445FF"/>
  </w:style>
  <w:style w:type="character" w:styleId="CommentReference">
    <w:name w:val="annotation reference"/>
    <w:basedOn w:val="DefaultParagraphFont"/>
    <w:uiPriority w:val="99"/>
    <w:semiHidden/>
    <w:unhideWhenUsed/>
    <w:rsid w:val="009023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3C2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3C2"/>
    <w:rPr>
      <w:rFonts w:eastAsiaTheme="minorHAnsi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3C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232"/>
    <w:rPr>
      <w:rFonts w:eastAsiaTheme="minorEastAsia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232"/>
    <w:rPr>
      <w:rFonts w:eastAsiaTheme="minorHAnsi"/>
      <w:b/>
      <w:bCs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CF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5E0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3522A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522A3"/>
    <w:rPr>
      <w:rFonts w:eastAsiaTheme="minorHAnsi"/>
      <w:sz w:val="20"/>
      <w:szCs w:val="20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080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080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C0807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2C0807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E04F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Revision">
    <w:name w:val="Revision"/>
    <w:hidden/>
    <w:uiPriority w:val="99"/>
    <w:semiHidden/>
    <w:rsid w:val="004D12E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365C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F914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1D1C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D1C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1D1CF5"/>
    <w:rPr>
      <w:color w:val="800080"/>
      <w:u w:val="single"/>
    </w:rPr>
  </w:style>
  <w:style w:type="character" w:customStyle="1" w:styleId="collapsetext">
    <w:name w:val="collapsetext"/>
    <w:basedOn w:val="DefaultParagraphFont"/>
    <w:rsid w:val="001D1CF5"/>
  </w:style>
  <w:style w:type="character" w:customStyle="1" w:styleId="showinfo">
    <w:name w:val="showinfo"/>
    <w:basedOn w:val="DefaultParagraphFont"/>
    <w:rsid w:val="001D1CF5"/>
  </w:style>
  <w:style w:type="character" w:customStyle="1" w:styleId="outtext">
    <w:name w:val="outtext"/>
    <w:basedOn w:val="DefaultParagraphFont"/>
    <w:rsid w:val="001D1CF5"/>
  </w:style>
  <w:style w:type="character" w:customStyle="1" w:styleId="articleoastatus">
    <w:name w:val="articleoastatus"/>
    <w:basedOn w:val="DefaultParagraphFont"/>
    <w:rsid w:val="001D1CF5"/>
  </w:style>
  <w:style w:type="paragraph" w:customStyle="1" w:styleId="svarticle">
    <w:name w:val="svarticle"/>
    <w:basedOn w:val="Normal"/>
    <w:rsid w:val="001D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D1CF5"/>
    <w:rPr>
      <w:i/>
      <w:iCs/>
    </w:rPr>
  </w:style>
  <w:style w:type="character" w:customStyle="1" w:styleId="label">
    <w:name w:val="label"/>
    <w:basedOn w:val="DefaultParagraphFont"/>
    <w:rsid w:val="001D1CF5"/>
  </w:style>
  <w:style w:type="paragraph" w:customStyle="1" w:styleId="legend">
    <w:name w:val="legend"/>
    <w:basedOn w:val="Normal"/>
    <w:rsid w:val="001D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edby">
    <w:name w:val="citedby_"/>
    <w:basedOn w:val="DefaultParagraphFont"/>
    <w:rsid w:val="001D1CF5"/>
  </w:style>
  <w:style w:type="character" w:customStyle="1" w:styleId="pdficonsmall">
    <w:name w:val="pdficonsmall"/>
    <w:basedOn w:val="DefaultParagraphFont"/>
    <w:rsid w:val="001D1CF5"/>
  </w:style>
  <w:style w:type="character" w:customStyle="1" w:styleId="interref">
    <w:name w:val="interref"/>
    <w:basedOn w:val="DefaultParagraphFont"/>
    <w:rsid w:val="001D1CF5"/>
  </w:style>
  <w:style w:type="paragraph" w:customStyle="1" w:styleId="authors">
    <w:name w:val="authors"/>
    <w:basedOn w:val="Normal"/>
    <w:rsid w:val="001D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ulltextlink">
    <w:name w:val="fulltextlink"/>
    <w:basedOn w:val="Normal"/>
    <w:rsid w:val="001D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f">
    <w:name w:val="ref"/>
    <w:basedOn w:val="DefaultParagraphFont"/>
    <w:rsid w:val="001D1CF5"/>
  </w:style>
  <w:style w:type="character" w:customStyle="1" w:styleId="table">
    <w:name w:val="table"/>
    <w:basedOn w:val="DefaultParagraphFont"/>
    <w:rsid w:val="001D1CF5"/>
  </w:style>
  <w:style w:type="character" w:customStyle="1" w:styleId="figuretitle">
    <w:name w:val="figuretitle"/>
    <w:basedOn w:val="DefaultParagraphFont"/>
    <w:rsid w:val="001D1CF5"/>
  </w:style>
  <w:style w:type="character" w:customStyle="1" w:styleId="figurecaption">
    <w:name w:val="figurecaption"/>
    <w:basedOn w:val="DefaultParagraphFont"/>
    <w:rsid w:val="001D1CF5"/>
  </w:style>
  <w:style w:type="paragraph" w:styleId="Header">
    <w:name w:val="header"/>
    <w:basedOn w:val="Normal"/>
    <w:link w:val="HeaderChar"/>
    <w:uiPriority w:val="99"/>
    <w:unhideWhenUsed/>
    <w:rsid w:val="001D1C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1CF5"/>
  </w:style>
  <w:style w:type="paragraph" w:styleId="Footer">
    <w:name w:val="footer"/>
    <w:basedOn w:val="Normal"/>
    <w:link w:val="FooterChar"/>
    <w:uiPriority w:val="99"/>
    <w:unhideWhenUsed/>
    <w:rsid w:val="001D1C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CF5"/>
  </w:style>
  <w:style w:type="numbering" w:customStyle="1" w:styleId="NoList1">
    <w:name w:val="No List1"/>
    <w:next w:val="NoList"/>
    <w:uiPriority w:val="99"/>
    <w:semiHidden/>
    <w:unhideWhenUsed/>
    <w:rsid w:val="00F861CC"/>
  </w:style>
  <w:style w:type="table" w:customStyle="1" w:styleId="TableGrid1">
    <w:name w:val="Table Grid1"/>
    <w:basedOn w:val="TableNormal"/>
    <w:next w:val="TableGrid"/>
    <w:uiPriority w:val="59"/>
    <w:rsid w:val="00F86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F861CC"/>
    <w:pPr>
      <w:spacing w:after="0" w:line="240" w:lineRule="auto"/>
    </w:pPr>
    <w:rPr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861CC"/>
    <w:pPr>
      <w:spacing w:after="0" w:line="240" w:lineRule="auto"/>
    </w:pPr>
    <w:rPr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861CC"/>
    <w:pPr>
      <w:spacing w:after="0" w:line="240" w:lineRule="auto"/>
    </w:pPr>
    <w:rPr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861CC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lang w:val="nl-NL" w:eastAsia="nl-NL"/>
    </w:rPr>
  </w:style>
  <w:style w:type="character" w:customStyle="1" w:styleId="BodyTextChar">
    <w:name w:val="Body Text Char"/>
    <w:basedOn w:val="DefaultParagraphFont"/>
    <w:link w:val="BodyText"/>
    <w:rsid w:val="00F861CC"/>
    <w:rPr>
      <w:rFonts w:ascii="Arial" w:eastAsia="Times New Roman" w:hAnsi="Arial" w:cs="Times New Roman"/>
      <w:sz w:val="20"/>
      <w:lang w:val="nl-NL" w:eastAsia="nl-NL"/>
    </w:rPr>
  </w:style>
  <w:style w:type="paragraph" w:customStyle="1" w:styleId="BodyText1">
    <w:name w:val="Body Text1"/>
    <w:basedOn w:val="Normal"/>
    <w:link w:val="bodytextChar2"/>
    <w:rsid w:val="00F861CC"/>
    <w:pPr>
      <w:spacing w:after="120" w:line="360" w:lineRule="auto"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bodytextChar2">
    <w:name w:val="body text Char2"/>
    <w:basedOn w:val="DefaultParagraphFont"/>
    <w:link w:val="BodyText1"/>
    <w:rsid w:val="00F861CC"/>
    <w:rPr>
      <w:rFonts w:ascii="Arial" w:eastAsia="Times New Roman" w:hAnsi="Arial" w:cs="Times New Roma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861CC"/>
    <w:pPr>
      <w:spacing w:after="0"/>
    </w:pPr>
  </w:style>
  <w:style w:type="table" w:customStyle="1" w:styleId="TableGrid4">
    <w:name w:val="Table Grid4"/>
    <w:basedOn w:val="TableNormal"/>
    <w:next w:val="TableGrid"/>
    <w:uiPriority w:val="39"/>
    <w:rsid w:val="00F861C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861C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F861CC"/>
    <w:pPr>
      <w:spacing w:after="100"/>
      <w:ind w:left="220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F861CC"/>
    <w:pPr>
      <w:spacing w:after="100"/>
    </w:pPr>
    <w:rPr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F861CC"/>
    <w:pPr>
      <w:spacing w:after="100"/>
      <w:ind w:left="440"/>
    </w:pPr>
    <w:rPr>
      <w:lang w:val="en-US" w:eastAsia="ja-JP"/>
    </w:rPr>
  </w:style>
  <w:style w:type="table" w:customStyle="1" w:styleId="TableGrid5">
    <w:name w:val="Table Grid5"/>
    <w:basedOn w:val="TableNormal"/>
    <w:next w:val="TableGrid"/>
    <w:uiPriority w:val="39"/>
    <w:rsid w:val="00F861C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F861C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861C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861CC"/>
    <w:pPr>
      <w:spacing w:after="0" w:line="240" w:lineRule="auto"/>
    </w:pPr>
    <w:rPr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861CC"/>
    <w:rPr>
      <w:lang w:val="en-US" w:eastAsia="ja-JP"/>
    </w:rPr>
  </w:style>
  <w:style w:type="table" w:customStyle="1" w:styleId="TableGrid8">
    <w:name w:val="Table Grid8"/>
    <w:basedOn w:val="TableNormal"/>
    <w:next w:val="TableGrid"/>
    <w:uiPriority w:val="39"/>
    <w:rsid w:val="00F861C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7D0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7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7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5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03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45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87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0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01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0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33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9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70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1662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517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112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4065">
          <w:marLeft w:val="547"/>
          <w:marRight w:val="0"/>
          <w:marTop w:val="13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6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4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5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8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17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44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4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7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4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6852">
          <w:marLeft w:val="547"/>
          <w:marRight w:val="0"/>
          <w:marTop w:val="14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1113">
          <w:marLeft w:val="116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064">
          <w:marLeft w:val="116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0906">
          <w:marLeft w:val="116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0">
          <w:marLeft w:val="116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1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23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91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42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2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520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3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7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86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30731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2710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8369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661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46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94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62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62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7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48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2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512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8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FFDB7-9BE4-480C-B558-6471ED363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WHO</Company>
  <LinksUpToDate>false</LinksUpToDate>
  <CharactersWithSpaces>12823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MACKLIN, Grace</dc:creator>
  <cp:lastModifiedBy>MACKLIN, Grace</cp:lastModifiedBy>
  <cp:revision>20</cp:revision>
  <cp:lastPrinted>2016-04-27T13:42:00Z</cp:lastPrinted>
  <dcterms:created xsi:type="dcterms:W3CDTF">2016-04-26T12:17:00Z</dcterms:created>
  <dcterms:modified xsi:type="dcterms:W3CDTF">2016-04-29T14:11:00Z</dcterms:modified>
</cp:coreProperties>
</file>